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2"/>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3"/>
        <w:gridCol w:w="801"/>
        <w:gridCol w:w="5042"/>
        <w:gridCol w:w="457"/>
        <w:gridCol w:w="1131"/>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序号</w:t>
            </w:r>
          </w:p>
        </w:tc>
        <w:tc>
          <w:tcPr>
            <w:tcW w:w="801" w:type="dxa"/>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产品名称</w:t>
            </w:r>
          </w:p>
        </w:tc>
        <w:tc>
          <w:tcPr>
            <w:tcW w:w="5042" w:type="dxa"/>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技术参数</w:t>
            </w:r>
          </w:p>
        </w:tc>
        <w:tc>
          <w:tcPr>
            <w:tcW w:w="457" w:type="dxa"/>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数量</w:t>
            </w:r>
          </w:p>
        </w:tc>
        <w:tc>
          <w:tcPr>
            <w:tcW w:w="1131" w:type="dxa"/>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单价</w:t>
            </w:r>
          </w:p>
        </w:tc>
        <w:tc>
          <w:tcPr>
            <w:tcW w:w="992" w:type="dxa"/>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801" w:type="dxa"/>
            <w:shd w:val="clear" w:color="auto" w:fill="auto"/>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电脑</w:t>
            </w:r>
          </w:p>
        </w:tc>
        <w:tc>
          <w:tcPr>
            <w:tcW w:w="5042" w:type="dxa"/>
            <w:shd w:val="clear" w:color="auto" w:fill="auto"/>
            <w:vAlign w:val="center"/>
          </w:tcPr>
          <w:p>
            <w:pPr>
              <w:widowControl/>
              <w:jc w:val="left"/>
              <w:rPr>
                <w:rFonts w:ascii="宋体" w:hAnsi="宋体" w:eastAsia="宋体" w:cs="宋体"/>
                <w:color w:val="000000"/>
                <w:kern w:val="0"/>
                <w:sz w:val="24"/>
                <w:szCs w:val="24"/>
              </w:rPr>
            </w:pPr>
            <w:r>
              <w:rPr>
                <w:rFonts w:ascii="宋体" w:hAnsi="宋体" w:eastAsia="宋体" w:cs="宋体"/>
                <w:color w:val="000000"/>
                <w:kern w:val="0"/>
                <w:sz w:val="24"/>
                <w:szCs w:val="24"/>
              </w:rPr>
              <w:t>CPU:</w:t>
            </w:r>
            <w:r>
              <w:rPr>
                <w:rFonts w:hint="eastAsia" w:ascii="宋体" w:hAnsi="宋体" w:eastAsia="宋体" w:cs="宋体"/>
                <w:color w:val="000000"/>
                <w:kern w:val="0"/>
                <w:sz w:val="24"/>
                <w:szCs w:val="24"/>
              </w:rPr>
              <w:t xml:space="preserve">至强3206R一颗 </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显卡：</w:t>
            </w:r>
            <w:r>
              <w:rPr>
                <w:rFonts w:ascii="宋体" w:hAnsi="宋体" w:eastAsia="宋体" w:cs="宋体"/>
                <w:color w:val="000000"/>
                <w:kern w:val="0"/>
                <w:sz w:val="24"/>
                <w:szCs w:val="24"/>
              </w:rPr>
              <w:t>P400 2G</w:t>
            </w:r>
            <w:r>
              <w:rPr>
                <w:rFonts w:hint="eastAsia" w:ascii="宋体" w:hAnsi="宋体" w:eastAsia="宋体" w:cs="宋体"/>
                <w:color w:val="000000"/>
                <w:kern w:val="0"/>
                <w:sz w:val="24"/>
                <w:szCs w:val="24"/>
              </w:rPr>
              <w:t>专业图形卡</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内存：</w:t>
            </w:r>
            <w:r>
              <w:rPr>
                <w:rFonts w:hint="eastAsia" w:ascii="宋体" w:hAnsi="宋体" w:eastAsia="宋体" w:cs="宋体"/>
                <w:color w:val="000000"/>
                <w:kern w:val="0"/>
                <w:sz w:val="24"/>
                <w:szCs w:val="24"/>
                <w:lang w:val="en-US" w:eastAsia="zh-CN"/>
              </w:rPr>
              <w:t>64</w:t>
            </w:r>
            <w:r>
              <w:rPr>
                <w:rFonts w:hint="eastAsia" w:ascii="宋体" w:hAnsi="宋体" w:eastAsia="宋体" w:cs="宋体"/>
                <w:color w:val="000000"/>
                <w:kern w:val="0"/>
                <w:sz w:val="24"/>
                <w:szCs w:val="24"/>
              </w:rPr>
              <w:t xml:space="preserve">G </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硬盘：256GSSD+1TB</w:t>
            </w:r>
            <w:bookmarkStart w:id="0" w:name="_GoBack"/>
            <w:bookmarkEnd w:id="0"/>
          </w:p>
        </w:tc>
        <w:tc>
          <w:tcPr>
            <w:tcW w:w="457" w:type="dxa"/>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2套</w:t>
            </w:r>
          </w:p>
        </w:tc>
        <w:tc>
          <w:tcPr>
            <w:tcW w:w="1131" w:type="dxa"/>
            <w:shd w:val="clear" w:color="auto" w:fill="auto"/>
            <w:vAlign w:val="center"/>
          </w:tcPr>
          <w:p>
            <w:pPr>
              <w:widowControl/>
              <w:jc w:val="center"/>
              <w:rPr>
                <w:rFonts w:ascii="宋体" w:hAnsi="宋体" w:eastAsia="宋体" w:cs="宋体"/>
                <w:color w:val="000000"/>
                <w:kern w:val="0"/>
                <w:sz w:val="24"/>
                <w:szCs w:val="24"/>
              </w:rPr>
            </w:pPr>
            <w:r>
              <w:rPr>
                <w:rFonts w:ascii="宋体" w:hAnsi="宋体" w:eastAsia="宋体" w:cs="宋体"/>
                <w:color w:val="000000"/>
                <w:kern w:val="0"/>
                <w:sz w:val="24"/>
                <w:szCs w:val="24"/>
              </w:rPr>
              <w:t>200</w:t>
            </w:r>
            <w:r>
              <w:rPr>
                <w:rFonts w:hint="eastAsia" w:ascii="宋体" w:hAnsi="宋体" w:eastAsia="宋体" w:cs="宋体"/>
                <w:color w:val="000000"/>
                <w:kern w:val="0"/>
                <w:sz w:val="24"/>
                <w:szCs w:val="24"/>
              </w:rPr>
              <w:t>00</w:t>
            </w:r>
          </w:p>
        </w:tc>
        <w:tc>
          <w:tcPr>
            <w:tcW w:w="992" w:type="dxa"/>
            <w:shd w:val="clear" w:color="auto" w:fill="auto"/>
            <w:vAlign w:val="center"/>
          </w:tcPr>
          <w:p>
            <w:pPr>
              <w:widowControl/>
              <w:jc w:val="center"/>
              <w:rPr>
                <w:rFonts w:ascii="宋体" w:hAnsi="宋体" w:eastAsia="宋体" w:cs="宋体"/>
                <w:color w:val="000000"/>
                <w:kern w:val="0"/>
                <w:sz w:val="24"/>
                <w:szCs w:val="24"/>
              </w:rPr>
            </w:pPr>
            <w:r>
              <w:rPr>
                <w:rFonts w:ascii="宋体" w:hAnsi="宋体" w:eastAsia="宋体" w:cs="宋体"/>
                <w:color w:val="000000"/>
                <w:kern w:val="0"/>
                <w:sz w:val="24"/>
                <w:szCs w:val="24"/>
              </w:rPr>
              <w:t>4</w:t>
            </w:r>
            <w:r>
              <w:rPr>
                <w:rFonts w:hint="eastAsia" w:ascii="宋体" w:hAnsi="宋体" w:eastAsia="宋体" w:cs="宋体"/>
                <w:color w:val="000000"/>
                <w:kern w:val="0"/>
                <w:sz w:val="24"/>
                <w:szCs w:val="24"/>
              </w:rPr>
              <w:t>00</w:t>
            </w:r>
            <w:r>
              <w:rPr>
                <w:rFonts w:ascii="宋体" w:hAnsi="宋体" w:eastAsia="宋体" w:cs="宋体"/>
                <w:color w:val="000000"/>
                <w:kern w:val="0"/>
                <w:sz w:val="24"/>
                <w:szCs w:val="24"/>
              </w:rPr>
              <w:t>0</w:t>
            </w:r>
            <w:r>
              <w:rPr>
                <w:rFonts w:hint="eastAsia" w:ascii="宋体" w:hAnsi="宋体" w:eastAsia="宋体" w:cs="宋体"/>
                <w:color w:val="000000"/>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801" w:type="dxa"/>
            <w:shd w:val="clear" w:color="auto" w:fill="auto"/>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电脑</w:t>
            </w:r>
          </w:p>
        </w:tc>
        <w:tc>
          <w:tcPr>
            <w:tcW w:w="5042" w:type="dxa"/>
            <w:shd w:val="clear" w:color="auto" w:fill="auto"/>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CPU:10代i</w:t>
            </w:r>
            <w:r>
              <w:rPr>
                <w:rFonts w:ascii="宋体" w:hAnsi="宋体" w:eastAsia="宋体" w:cs="宋体"/>
                <w:color w:val="000000"/>
                <w:kern w:val="0"/>
                <w:sz w:val="24"/>
                <w:szCs w:val="24"/>
              </w:rPr>
              <w:t>7</w:t>
            </w:r>
            <w:r>
              <w:rPr>
                <w:rFonts w:hint="eastAsia" w:ascii="宋体" w:hAnsi="宋体" w:eastAsia="宋体" w:cs="宋体"/>
                <w:color w:val="000000"/>
                <w:kern w:val="0"/>
                <w:sz w:val="24"/>
                <w:szCs w:val="24"/>
              </w:rPr>
              <w:t>-10</w:t>
            </w:r>
            <w:r>
              <w:rPr>
                <w:rFonts w:ascii="宋体" w:hAnsi="宋体" w:eastAsia="宋体" w:cs="宋体"/>
                <w:color w:val="000000"/>
                <w:kern w:val="0"/>
                <w:sz w:val="24"/>
                <w:szCs w:val="24"/>
              </w:rPr>
              <w:t>7</w:t>
            </w:r>
            <w:r>
              <w:rPr>
                <w:rFonts w:hint="eastAsia" w:ascii="宋体" w:hAnsi="宋体" w:eastAsia="宋体" w:cs="宋体"/>
                <w:color w:val="000000"/>
                <w:kern w:val="0"/>
                <w:sz w:val="24"/>
                <w:szCs w:val="24"/>
              </w:rPr>
              <w:t>00</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内存：</w:t>
            </w:r>
            <w:r>
              <w:rPr>
                <w:rFonts w:ascii="宋体" w:hAnsi="宋体" w:eastAsia="宋体" w:cs="宋体"/>
                <w:color w:val="000000"/>
                <w:kern w:val="0"/>
                <w:sz w:val="24"/>
                <w:szCs w:val="24"/>
              </w:rPr>
              <w:t>16</w:t>
            </w:r>
            <w:r>
              <w:rPr>
                <w:rFonts w:hint="eastAsia" w:ascii="宋体" w:hAnsi="宋体" w:eastAsia="宋体" w:cs="宋体"/>
                <w:color w:val="000000"/>
                <w:kern w:val="0"/>
                <w:sz w:val="24"/>
                <w:szCs w:val="24"/>
              </w:rPr>
              <w:t>G</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硬盘：</w:t>
            </w:r>
            <w:r>
              <w:rPr>
                <w:rFonts w:ascii="宋体" w:hAnsi="宋体" w:eastAsia="宋体" w:cs="宋体"/>
                <w:color w:val="000000"/>
                <w:kern w:val="0"/>
                <w:sz w:val="24"/>
                <w:szCs w:val="24"/>
              </w:rPr>
              <w:t>1T+256G SSD</w:t>
            </w:r>
          </w:p>
          <w:p>
            <w:pPr>
              <w:widowControl/>
              <w:jc w:val="left"/>
              <w:rPr>
                <w:rFonts w:ascii="宋体" w:hAnsi="宋体" w:eastAsia="宋体" w:cs="宋体"/>
                <w:color w:val="000000"/>
                <w:kern w:val="0"/>
                <w:sz w:val="24"/>
                <w:szCs w:val="24"/>
              </w:rPr>
            </w:pPr>
            <w:r>
              <w:rPr>
                <w:rFonts w:ascii="宋体" w:hAnsi="宋体" w:eastAsia="宋体" w:cs="宋体"/>
                <w:color w:val="000000"/>
                <w:kern w:val="0"/>
                <w:sz w:val="24"/>
                <w:szCs w:val="24"/>
              </w:rPr>
              <w:t>2G</w:t>
            </w:r>
            <w:r>
              <w:rPr>
                <w:rFonts w:hint="eastAsia" w:ascii="宋体" w:hAnsi="宋体" w:eastAsia="宋体" w:cs="宋体"/>
                <w:color w:val="000000"/>
                <w:kern w:val="0"/>
                <w:sz w:val="24"/>
                <w:szCs w:val="24"/>
              </w:rPr>
              <w:t>独立显卡</w:t>
            </w:r>
          </w:p>
          <w:p>
            <w:pPr>
              <w:widowControl/>
              <w:jc w:val="left"/>
              <w:rPr>
                <w:rFonts w:ascii="宋体" w:hAnsi="宋体" w:eastAsia="宋体" w:cs="宋体"/>
                <w:color w:val="000000"/>
                <w:kern w:val="0"/>
                <w:sz w:val="24"/>
                <w:szCs w:val="24"/>
              </w:rPr>
            </w:pPr>
            <w:r>
              <w:rPr>
                <w:rFonts w:ascii="宋体" w:hAnsi="宋体" w:eastAsia="宋体" w:cs="宋体"/>
                <w:color w:val="000000"/>
                <w:kern w:val="0"/>
                <w:sz w:val="24"/>
                <w:szCs w:val="24"/>
              </w:rPr>
              <w:t>21</w:t>
            </w:r>
            <w:r>
              <w:rPr>
                <w:rFonts w:hint="eastAsia" w:ascii="宋体" w:hAnsi="宋体" w:eastAsia="宋体" w:cs="宋体"/>
                <w:color w:val="000000"/>
                <w:kern w:val="0"/>
                <w:sz w:val="24"/>
                <w:szCs w:val="24"/>
              </w:rPr>
              <w:t>寸显示器</w:t>
            </w:r>
          </w:p>
        </w:tc>
        <w:tc>
          <w:tcPr>
            <w:tcW w:w="457" w:type="dxa"/>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8套</w:t>
            </w:r>
          </w:p>
        </w:tc>
        <w:tc>
          <w:tcPr>
            <w:tcW w:w="1131" w:type="dxa"/>
            <w:shd w:val="clear" w:color="auto" w:fill="auto"/>
            <w:vAlign w:val="center"/>
          </w:tcPr>
          <w:p>
            <w:pPr>
              <w:widowControl/>
              <w:jc w:val="center"/>
              <w:rPr>
                <w:rFonts w:ascii="宋体" w:hAnsi="宋体" w:eastAsia="宋体" w:cs="宋体"/>
                <w:color w:val="000000"/>
                <w:kern w:val="0"/>
                <w:sz w:val="24"/>
                <w:szCs w:val="24"/>
              </w:rPr>
            </w:pPr>
            <w:r>
              <w:rPr>
                <w:rFonts w:ascii="宋体" w:hAnsi="宋体" w:eastAsia="宋体" w:cs="宋体"/>
                <w:color w:val="000000"/>
                <w:kern w:val="0"/>
                <w:sz w:val="24"/>
                <w:szCs w:val="24"/>
              </w:rPr>
              <w:t>80</w:t>
            </w:r>
            <w:r>
              <w:rPr>
                <w:rFonts w:hint="eastAsia" w:ascii="宋体" w:hAnsi="宋体" w:eastAsia="宋体" w:cs="宋体"/>
                <w:color w:val="000000"/>
                <w:kern w:val="0"/>
                <w:sz w:val="24"/>
                <w:szCs w:val="24"/>
              </w:rPr>
              <w:t>00</w:t>
            </w:r>
          </w:p>
        </w:tc>
        <w:tc>
          <w:tcPr>
            <w:tcW w:w="992" w:type="dxa"/>
            <w:shd w:val="clear" w:color="auto" w:fill="auto"/>
            <w:vAlign w:val="center"/>
          </w:tcPr>
          <w:p>
            <w:pPr>
              <w:widowControl/>
              <w:jc w:val="center"/>
              <w:rPr>
                <w:rFonts w:ascii="宋体" w:hAnsi="宋体" w:eastAsia="宋体" w:cs="宋体"/>
                <w:color w:val="000000"/>
                <w:kern w:val="0"/>
                <w:sz w:val="24"/>
                <w:szCs w:val="24"/>
              </w:rPr>
            </w:pPr>
            <w:r>
              <w:rPr>
                <w:rFonts w:ascii="宋体" w:hAnsi="宋体" w:eastAsia="宋体" w:cs="宋体"/>
                <w:color w:val="000000"/>
                <w:kern w:val="0"/>
                <w:sz w:val="24"/>
                <w:szCs w:val="24"/>
              </w:rPr>
              <w:t>64</w:t>
            </w:r>
            <w:r>
              <w:rPr>
                <w:rFonts w:hint="eastAsia" w:ascii="宋体" w:hAnsi="宋体" w:eastAsia="宋体" w:cs="宋体"/>
                <w:color w:val="000000"/>
                <w:kern w:val="0"/>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801" w:type="dxa"/>
            <w:shd w:val="clear" w:color="auto" w:fill="auto"/>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车载冰箱</w:t>
            </w:r>
          </w:p>
        </w:tc>
        <w:tc>
          <w:tcPr>
            <w:tcW w:w="5042" w:type="dxa"/>
            <w:shd w:val="clear" w:color="auto" w:fill="auto"/>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容量：20-30l</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商品毛重小等于15.64kg</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制冷性能：可结冰</w:t>
            </w:r>
            <w:r>
              <w:rPr>
                <w:rFonts w:ascii="宋体" w:hAnsi="宋体" w:eastAsia="宋体" w:cs="宋体"/>
                <w:color w:val="000000"/>
                <w:kern w:val="0"/>
                <w:sz w:val="24"/>
                <w:szCs w:val="24"/>
              </w:rPr>
              <w:t>；</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静音效果：低音降噪；</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开门方式：立式；</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控制方式：按键控制</w:t>
            </w:r>
          </w:p>
        </w:tc>
        <w:tc>
          <w:tcPr>
            <w:tcW w:w="457" w:type="dxa"/>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2台</w:t>
            </w:r>
          </w:p>
        </w:tc>
        <w:tc>
          <w:tcPr>
            <w:tcW w:w="1131" w:type="dxa"/>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9</w:t>
            </w:r>
            <w:r>
              <w:rPr>
                <w:rFonts w:hint="eastAsia" w:ascii="宋体" w:hAnsi="宋体" w:eastAsia="宋体" w:cs="宋体"/>
                <w:color w:val="000000"/>
                <w:kern w:val="0"/>
                <w:sz w:val="24"/>
                <w:szCs w:val="24"/>
              </w:rPr>
              <w:t>00</w:t>
            </w:r>
          </w:p>
        </w:tc>
        <w:tc>
          <w:tcPr>
            <w:tcW w:w="992" w:type="dxa"/>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8</w:t>
            </w:r>
            <w:r>
              <w:rPr>
                <w:rFonts w:hint="eastAsia" w:ascii="宋体" w:hAnsi="宋体" w:eastAsia="宋体" w:cs="宋体"/>
                <w:color w:val="000000"/>
                <w:kern w:val="0"/>
                <w:sz w:val="24"/>
                <w:szCs w:val="24"/>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pPr>
              <w:widowControl/>
              <w:jc w:val="center"/>
              <w:rPr>
                <w:rFonts w:ascii="宋体" w:hAnsi="宋体" w:eastAsia="宋体" w:cs="宋体"/>
                <w:color w:val="000000"/>
                <w:kern w:val="0"/>
                <w:sz w:val="24"/>
                <w:szCs w:val="24"/>
              </w:rPr>
            </w:pPr>
            <w:r>
              <w:rPr>
                <w:rFonts w:ascii="宋体" w:hAnsi="宋体" w:eastAsia="宋体" w:cs="宋体"/>
                <w:color w:val="000000"/>
                <w:kern w:val="0"/>
                <w:sz w:val="24"/>
                <w:szCs w:val="24"/>
              </w:rPr>
              <w:t>4</w:t>
            </w:r>
          </w:p>
        </w:tc>
        <w:tc>
          <w:tcPr>
            <w:tcW w:w="801" w:type="dxa"/>
            <w:shd w:val="clear" w:color="auto" w:fill="auto"/>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供应链大数据分析与应用</w:t>
            </w:r>
          </w:p>
        </w:tc>
        <w:tc>
          <w:tcPr>
            <w:tcW w:w="5042" w:type="dxa"/>
            <w:shd w:val="clear" w:color="auto" w:fill="auto"/>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一、运行环境</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1.系统B/S架构开发，客户端无人数限制，易安装易维护；</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2.服务器环境基于win2007、win2008或更高版本；</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二、系统特点</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 大数据可视化分析平台是真实企业广泛应用的数据可视化分析软件，功能涵盖项目管理、用户管理、数据源、数据分析、图表、可视化大屏、可视化仪表盘、下载、分享和个人设置这十大功能模块。平台配套流通行业中日化、母婴、食品、酒饮和家电这五大行业教学数据，将理论课程中学到的数据分析算法运用到实际的数据分析过程中，提升学生的动手操作和项目实践能力，使得学生所学与企业项目人才需求无缝衔接，与教师的科研工作紧密配合。</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1.多种数据采集模式：①支持通用csv&amp;excel文本上传；②支持服务器数据库jdbc直连；</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2.使用国际标准的SQL语法组合，分析维度广、精度高、自主性强；</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★3.项目共享交互：各高校用户的大数据项目可交互分析；可视化内容可通过URL分享；</w:t>
            </w:r>
          </w:p>
          <w:p>
            <w:pPr>
              <w:widowControl/>
              <w:spacing w:before="100" w:beforeAutospacing="1" w:after="100" w:afterAutospacing="1" w:line="36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4.支持外部大屏设备投放，与大屏融合控制器：</w:t>
            </w:r>
          </w:p>
          <w:p>
            <w:pPr>
              <w:widowControl/>
              <w:spacing w:before="100" w:beforeAutospacing="1" w:after="100" w:afterAutospacing="1" w:line="360" w:lineRule="atLeast"/>
              <w:jc w:val="left"/>
              <w:rPr>
                <w:rFonts w:ascii="宋体" w:hAnsi="宋体" w:eastAsia="宋体" w:cs="宋体"/>
                <w:kern w:val="0"/>
                <w:sz w:val="24"/>
                <w:szCs w:val="24"/>
              </w:rPr>
            </w:pPr>
            <w:r>
              <w:rPr>
                <w:rFonts w:hint="eastAsia" w:ascii="宋体" w:hAnsi="宋体" w:eastAsia="宋体" w:cs="宋体"/>
                <w:kern w:val="0"/>
                <w:sz w:val="24"/>
                <w:szCs w:val="24"/>
              </w:rPr>
              <w:t>（1）、主板采用工业级高速多核嵌入式CPU，嵌入式融合控制LINUX操作系统内核及平台。</w:t>
            </w:r>
          </w:p>
          <w:p>
            <w:pPr>
              <w:widowControl/>
              <w:spacing w:before="100" w:beforeAutospacing="1" w:after="100" w:afterAutospacing="1" w:line="360" w:lineRule="atLeast"/>
              <w:jc w:val="left"/>
              <w:rPr>
                <w:rFonts w:ascii="宋体" w:hAnsi="宋体" w:eastAsia="宋体" w:cs="宋体"/>
                <w:kern w:val="0"/>
                <w:sz w:val="24"/>
                <w:szCs w:val="24"/>
              </w:rPr>
            </w:pPr>
            <w:r>
              <w:rPr>
                <w:rFonts w:hint="eastAsia" w:ascii="宋体" w:hAnsi="宋体" w:eastAsia="宋体" w:cs="宋体"/>
                <w:kern w:val="0"/>
                <w:sz w:val="24"/>
                <w:szCs w:val="24"/>
              </w:rPr>
              <w:t>（2）、固定220V 10A防脱落智能强电输出插座口≥8路，旁路输出插座≥2路，每路接口为新国标五孔插口，每路可扩展独立的无线控制开关，集成电源时序功能，可通过PC、手机、智能终端方便管理安防录像机或平板显示器、中控、电脑、服务器等的电源，可对每路输出的用电做分析；整机输出支持最大功率3.5KW以上，防雷防浪涌。</w:t>
            </w:r>
          </w:p>
          <w:p>
            <w:pPr>
              <w:widowControl/>
              <w:spacing w:before="100" w:beforeAutospacing="1" w:after="100" w:afterAutospacing="1" w:line="360" w:lineRule="atLeast"/>
              <w:jc w:val="left"/>
              <w:rPr>
                <w:rFonts w:ascii="宋体" w:hAnsi="宋体" w:eastAsia="宋体" w:cs="宋体"/>
                <w:kern w:val="0"/>
                <w:sz w:val="24"/>
                <w:szCs w:val="24"/>
              </w:rPr>
            </w:pPr>
            <w:r>
              <w:rPr>
                <w:rFonts w:hint="eastAsia" w:ascii="宋体" w:hAnsi="宋体" w:eastAsia="宋体" w:cs="宋体"/>
                <w:kern w:val="0"/>
                <w:sz w:val="24"/>
                <w:szCs w:val="24"/>
              </w:rPr>
              <w:t>（3）、设备主机已集成智慧电能管理系统，支持空调控制物联协议、其他红外协议的设备对接、温度、湿度的采集和控制，结合智慧物联管理平台直接远程实现所有输出线路的用电管理。</w:t>
            </w:r>
          </w:p>
          <w:p>
            <w:pPr>
              <w:widowControl/>
              <w:spacing w:before="100" w:beforeAutospacing="1" w:after="100" w:afterAutospacing="1" w:line="360" w:lineRule="atLeast"/>
              <w:jc w:val="left"/>
              <w:rPr>
                <w:rFonts w:ascii="宋体" w:hAnsi="宋体" w:eastAsia="宋体" w:cs="宋体"/>
                <w:kern w:val="0"/>
                <w:sz w:val="24"/>
                <w:szCs w:val="24"/>
              </w:rPr>
            </w:pPr>
            <w:r>
              <w:rPr>
                <w:rFonts w:hint="eastAsia" w:ascii="宋体" w:hAnsi="宋体" w:eastAsia="宋体" w:cs="宋体"/>
                <w:kern w:val="0"/>
                <w:sz w:val="24"/>
                <w:szCs w:val="24"/>
              </w:rPr>
              <w:t>（</w:t>
            </w:r>
            <w:r>
              <w:rPr>
                <w:rFonts w:ascii="宋体" w:hAnsi="宋体" w:eastAsia="宋体" w:cs="宋体"/>
                <w:kern w:val="0"/>
                <w:sz w:val="24"/>
                <w:szCs w:val="24"/>
              </w:rPr>
              <w:t>4</w:t>
            </w:r>
            <w:r>
              <w:rPr>
                <w:rFonts w:hint="eastAsia" w:ascii="宋体" w:hAnsi="宋体" w:eastAsia="宋体" w:cs="宋体"/>
                <w:kern w:val="0"/>
                <w:sz w:val="24"/>
                <w:szCs w:val="24"/>
              </w:rPr>
              <w:t>）、固定5个10/100M以太网RJ45网络接口、1路USB3.0接口，可扩展智能可编程红外控制模块、存储器、充电等。可扩展多路个温湿度物联模块和1个光感模块或电源红外开关，可采集环境温度变化及湿度变化的采集。</w:t>
            </w:r>
          </w:p>
          <w:p>
            <w:pPr>
              <w:widowControl/>
              <w:spacing w:before="100" w:beforeAutospacing="1" w:after="100" w:afterAutospacing="1" w:line="360" w:lineRule="atLeast"/>
              <w:jc w:val="left"/>
              <w:rPr>
                <w:rFonts w:ascii="宋体" w:hAnsi="宋体" w:eastAsia="宋体" w:cs="宋体"/>
                <w:kern w:val="0"/>
                <w:sz w:val="24"/>
                <w:szCs w:val="24"/>
              </w:rPr>
            </w:pPr>
            <w:r>
              <w:rPr>
                <w:rFonts w:hint="eastAsia" w:ascii="宋体" w:hAnsi="宋体" w:eastAsia="宋体" w:cs="宋体"/>
                <w:kern w:val="0"/>
                <w:sz w:val="24"/>
                <w:szCs w:val="24"/>
              </w:rPr>
              <w:t>（</w:t>
            </w:r>
            <w:r>
              <w:rPr>
                <w:rFonts w:ascii="宋体" w:hAnsi="宋体" w:eastAsia="宋体" w:cs="宋体"/>
                <w:kern w:val="0"/>
                <w:sz w:val="24"/>
                <w:szCs w:val="24"/>
              </w:rPr>
              <w:t>5</w:t>
            </w:r>
            <w:r>
              <w:rPr>
                <w:rFonts w:hint="eastAsia" w:ascii="宋体" w:hAnsi="宋体" w:eastAsia="宋体" w:cs="宋体"/>
                <w:kern w:val="0"/>
                <w:sz w:val="24"/>
                <w:szCs w:val="24"/>
              </w:rPr>
              <w:t>）、可自定义每路输出电路端口的名 称和图案，自动统计、查询和控制各种用电多媒体设备的使用状况及状态。</w:t>
            </w:r>
          </w:p>
          <w:p>
            <w:pPr>
              <w:widowControl/>
              <w:spacing w:before="100" w:beforeAutospacing="1" w:after="100" w:afterAutospacing="1" w:line="360" w:lineRule="atLeast"/>
              <w:jc w:val="left"/>
              <w:rPr>
                <w:rFonts w:ascii="宋体" w:hAnsi="宋体" w:eastAsia="宋体" w:cs="宋体"/>
                <w:kern w:val="0"/>
                <w:sz w:val="24"/>
                <w:szCs w:val="24"/>
              </w:rPr>
            </w:pPr>
            <w:r>
              <w:rPr>
                <w:rFonts w:hint="eastAsia" w:ascii="宋体" w:hAnsi="宋体" w:eastAsia="宋体" w:cs="宋体"/>
                <w:kern w:val="0"/>
                <w:sz w:val="24"/>
                <w:szCs w:val="24"/>
              </w:rPr>
              <w:t>▲（</w:t>
            </w:r>
            <w:r>
              <w:rPr>
                <w:rFonts w:ascii="宋体" w:hAnsi="宋体" w:eastAsia="宋体" w:cs="宋体"/>
                <w:kern w:val="0"/>
                <w:sz w:val="24"/>
                <w:szCs w:val="24"/>
              </w:rPr>
              <w:t>6</w:t>
            </w:r>
            <w:r>
              <w:rPr>
                <w:rFonts w:hint="eastAsia" w:ascii="宋体" w:hAnsi="宋体" w:eastAsia="宋体" w:cs="宋体"/>
                <w:kern w:val="0"/>
                <w:sz w:val="24"/>
                <w:szCs w:val="24"/>
              </w:rPr>
              <w:t>）、设备支持TCP/IP集中或远程云平台管理，可以通过手机APP终端或微信进行远程管理和控制输出设备的使用，通过云端智慧物联集中管理平台无缝对接，包括设备的每路电源输出开关控制、用电情况及环境预警等。（</w:t>
            </w:r>
            <w:r>
              <w:rPr>
                <w:rFonts w:hint="eastAsia" w:ascii="宋体" w:hAnsi="宋体" w:eastAsia="宋体" w:cs="宋体"/>
                <w:color w:val="0000FF"/>
                <w:kern w:val="0"/>
                <w:sz w:val="24"/>
                <w:szCs w:val="24"/>
              </w:rPr>
              <w:t>提供终端远程控制界面截图并加盖投标人公章</w:t>
            </w:r>
            <w:r>
              <w:rPr>
                <w:rFonts w:hint="eastAsia" w:ascii="宋体" w:hAnsi="宋体" w:eastAsia="宋体" w:cs="宋体"/>
                <w:kern w:val="0"/>
                <w:sz w:val="24"/>
                <w:szCs w:val="24"/>
              </w:rPr>
              <w:t>）</w:t>
            </w:r>
          </w:p>
          <w:p>
            <w:pPr>
              <w:widowControl/>
              <w:spacing w:before="100" w:beforeAutospacing="1" w:after="100" w:afterAutospacing="1" w:line="360" w:lineRule="atLeast"/>
              <w:jc w:val="left"/>
              <w:rPr>
                <w:rFonts w:ascii="宋体" w:hAnsi="宋体" w:eastAsia="宋体" w:cs="宋体"/>
                <w:kern w:val="0"/>
                <w:sz w:val="24"/>
                <w:szCs w:val="24"/>
              </w:rPr>
            </w:pPr>
            <w:r>
              <w:rPr>
                <w:rFonts w:hint="eastAsia" w:ascii="宋体" w:hAnsi="宋体" w:eastAsia="宋体" w:cs="宋体"/>
                <w:kern w:val="0"/>
                <w:sz w:val="24"/>
                <w:szCs w:val="24"/>
              </w:rPr>
              <w:t>（</w:t>
            </w:r>
            <w:r>
              <w:rPr>
                <w:rFonts w:ascii="宋体" w:hAnsi="宋体" w:eastAsia="宋体" w:cs="宋体"/>
                <w:kern w:val="0"/>
                <w:sz w:val="24"/>
                <w:szCs w:val="24"/>
              </w:rPr>
              <w:t>7</w:t>
            </w:r>
            <w:r>
              <w:rPr>
                <w:rFonts w:hint="eastAsia" w:ascii="宋体" w:hAnsi="宋体" w:eastAsia="宋体" w:cs="宋体"/>
                <w:kern w:val="0"/>
                <w:sz w:val="24"/>
                <w:szCs w:val="24"/>
              </w:rPr>
              <w:t>）、设备带有1.5寸以上LCD或OLED显示屏，屏幕监视工作状态帮助故障分析，可显示工作状态，对每路输出电路端口工作情况及负载情况进行精确判断，包括端口功率、电压、电流、温湿度等状态作出显示，对环境温度和湿度、每路输出端口连接设备的使用电量、电压做实时显示总查询情况。</w:t>
            </w:r>
          </w:p>
          <w:p>
            <w:pPr>
              <w:widowControl/>
              <w:spacing w:before="100" w:beforeAutospacing="1" w:after="100" w:afterAutospacing="1" w:line="360" w:lineRule="atLeast"/>
              <w:jc w:val="left"/>
              <w:rPr>
                <w:rFonts w:ascii="宋体" w:hAnsi="宋体" w:eastAsia="宋体" w:cs="宋体"/>
                <w:kern w:val="0"/>
                <w:sz w:val="24"/>
                <w:szCs w:val="24"/>
              </w:rPr>
            </w:pPr>
            <w:r>
              <w:rPr>
                <w:rFonts w:hint="eastAsia" w:ascii="宋体" w:hAnsi="宋体" w:eastAsia="宋体" w:cs="宋体"/>
                <w:kern w:val="0"/>
                <w:sz w:val="24"/>
                <w:szCs w:val="24"/>
              </w:rPr>
              <w:t>▲（</w:t>
            </w:r>
            <w:r>
              <w:rPr>
                <w:rFonts w:ascii="宋体" w:hAnsi="宋体" w:eastAsia="宋体" w:cs="宋体"/>
                <w:kern w:val="0"/>
                <w:sz w:val="24"/>
                <w:szCs w:val="24"/>
              </w:rPr>
              <w:t>8</w:t>
            </w:r>
            <w:r>
              <w:rPr>
                <w:rFonts w:hint="eastAsia" w:ascii="宋体" w:hAnsi="宋体" w:eastAsia="宋体" w:cs="宋体"/>
                <w:kern w:val="0"/>
                <w:sz w:val="24"/>
                <w:szCs w:val="24"/>
              </w:rPr>
              <w:t>）、为保证使用安全，设备应满足：①接地端子电阻≤0.005Ω（1.5倍额定电流）；插座绝缘电阻≥500MΩ；电气强度测试在2000V内不得出现闪络或击穿。②具备抗高温能力，密封胶、固定载流部件和接地电路部件保持在正常位置所需的绝缘材料、插座孔周围正面部件等在≥80℃环境下不会产生严重变形或者影响今后使用的变化。③通过国标耐燃性能测试。</w:t>
            </w:r>
            <w:r>
              <w:rPr>
                <w:rFonts w:hint="eastAsia" w:ascii="宋体" w:hAnsi="宋体" w:eastAsia="宋体" w:cs="宋体"/>
                <w:color w:val="0000FF"/>
                <w:kern w:val="0"/>
                <w:sz w:val="24"/>
                <w:szCs w:val="24"/>
              </w:rPr>
              <w:t>应具有省 级或以上检测检验部门出具的数据测试报告，报告中需呈现以上参数功能</w:t>
            </w:r>
            <w:r>
              <w:rPr>
                <w:rFonts w:hint="eastAsia" w:ascii="宋体" w:hAnsi="宋体" w:eastAsia="宋体" w:cs="宋体"/>
                <w:kern w:val="0"/>
                <w:sz w:val="24"/>
                <w:szCs w:val="24"/>
              </w:rPr>
              <w:t>（提供复印件并加盖投标人公章，原件备查）</w:t>
            </w:r>
          </w:p>
          <w:p>
            <w:pPr>
              <w:widowControl/>
              <w:spacing w:before="100" w:beforeAutospacing="1" w:after="100" w:afterAutospacing="1" w:line="360" w:lineRule="atLeast"/>
              <w:jc w:val="left"/>
              <w:rPr>
                <w:rFonts w:ascii="宋体" w:hAnsi="宋体" w:eastAsia="宋体" w:cs="宋体"/>
                <w:color w:val="0000FF"/>
                <w:kern w:val="0"/>
                <w:sz w:val="24"/>
                <w:szCs w:val="24"/>
              </w:rPr>
            </w:pPr>
            <w:r>
              <w:rPr>
                <w:rFonts w:hint="eastAsia" w:ascii="宋体" w:hAnsi="宋体" w:eastAsia="宋体" w:cs="宋体"/>
                <w:kern w:val="0"/>
                <w:sz w:val="24"/>
                <w:szCs w:val="24"/>
              </w:rPr>
              <w:t>▲（</w:t>
            </w:r>
            <w:r>
              <w:rPr>
                <w:rFonts w:ascii="宋体" w:hAnsi="宋体" w:eastAsia="宋体" w:cs="宋体"/>
                <w:kern w:val="0"/>
                <w:sz w:val="24"/>
                <w:szCs w:val="24"/>
              </w:rPr>
              <w:t>9</w:t>
            </w:r>
            <w:r>
              <w:rPr>
                <w:rFonts w:hint="eastAsia" w:ascii="宋体" w:hAnsi="宋体" w:eastAsia="宋体" w:cs="宋体"/>
                <w:kern w:val="0"/>
                <w:sz w:val="24"/>
                <w:szCs w:val="24"/>
              </w:rPr>
              <w:t>）、以上技术规格所描述的端口固定集成要求：电源输出所有插座口、RJ45网络接口、USB接口、面板显示屏等须全部集成固定在一台设备上，设备大小尺寸≤标准19英寸1U机架式。</w:t>
            </w:r>
            <w:r>
              <w:rPr>
                <w:rFonts w:hint="eastAsia" w:ascii="宋体" w:hAnsi="宋体" w:eastAsia="宋体" w:cs="宋体"/>
                <w:color w:val="0000FF"/>
                <w:kern w:val="0"/>
                <w:sz w:val="24"/>
                <w:szCs w:val="24"/>
              </w:rPr>
              <w:t>提供产品照片，并加盖投标人公章。</w:t>
            </w:r>
          </w:p>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w:t>
            </w:r>
            <w:r>
              <w:rPr>
                <w:rFonts w:ascii="宋体" w:hAnsi="宋体" w:eastAsia="宋体" w:cs="宋体"/>
                <w:kern w:val="0"/>
                <w:sz w:val="24"/>
                <w:szCs w:val="24"/>
              </w:rPr>
              <w:t>10</w:t>
            </w:r>
            <w:r>
              <w:rPr>
                <w:rFonts w:hint="eastAsia" w:ascii="宋体" w:hAnsi="宋体" w:eastAsia="宋体" w:cs="宋体"/>
                <w:kern w:val="0"/>
                <w:sz w:val="24"/>
                <w:szCs w:val="24"/>
              </w:rPr>
              <w:t>）、提供该设备相关融合控制管理</w:t>
            </w:r>
            <w:r>
              <w:rPr>
                <w:rFonts w:hint="eastAsia" w:ascii="宋体" w:hAnsi="宋体" w:eastAsia="宋体" w:cs="宋体"/>
                <w:color w:val="0000FF"/>
                <w:kern w:val="0"/>
                <w:sz w:val="24"/>
                <w:szCs w:val="24"/>
              </w:rPr>
              <w:t>软件著作权登记证书</w:t>
            </w:r>
            <w:r>
              <w:rPr>
                <w:rFonts w:hint="eastAsia" w:ascii="宋体" w:hAnsi="宋体" w:eastAsia="宋体" w:cs="宋体"/>
                <w:kern w:val="0"/>
                <w:sz w:val="24"/>
                <w:szCs w:val="24"/>
              </w:rPr>
              <w:t>证明文件。（提供复印件并加盖投标人公章，原件备查）</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三、功能说明</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★（一）项目管理</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1.基本管理：查询（全部、我参与的、我创建的、我收藏的、最近浏览的）项目新增、修改和删除；</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2.项目评价：点赞、取消点赞、收藏；</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3.项目移交：将项目移交到个人的其它组织；</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4.项目权限：公开或授权。</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（二）用户管理</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1.基本管理：用户查询、新增、修改、禁用和启用。</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（三）数据源</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1.基本管理：数据源查询、新增、修改、删除</w:t>
            </w:r>
            <w:r>
              <w:rPr>
                <w:rFonts w:hint="eastAsia" w:ascii="宋体" w:hAnsi="宋体" w:eastAsia="宋体" w:cs="宋体"/>
                <w:color w:val="000000"/>
                <w:kern w:val="0"/>
                <w:sz w:val="24"/>
                <w:szCs w:val="24"/>
              </w:rPr>
              <w:tab/>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2.CSV上传管理：支持Mysql数据库存储上传的数据；支持中文UTF8格式；支持新增、替换和追加数据；支持中文表名和字段名；</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3.数据库连接管理：支持数据库连接测试；支持数据库连接重置；支持myslq、oralce和sqlserver数据库；支持数据库参考传递，如编码、SSL、自动重连设置等。</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（四）数据分析</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1.基本管理：数据分析的查询、新增、复制、修改、删除；</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2.数据选择：支持对数据源进行下拉选择；支持按字段和表名称对元数据进行搜索和过滤；支持对字段进行类型自动识别；</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3.SQL编辑区：支持标签SQL99语法，常见的数据分析语法如Select查询、join数据关联、group by数据分组统计、等值、大于、小于、等于、去重、全文连接、排序、字符串连接、加减乘除、方差等上百个命令，组合成千上万的数据分析语法；支持对SQL关键字进行TAB提示和自动补全；支持SQL关键字高亮显示；支持对表和字段进行提示和自动补全；</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4.变量区：支持查询变量设置，仪表盘全局控制器进行关联过滤数据；支持权限变量，可与角色进行关联，控制查询数据的权限；</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5.数据预览区：支持对数据进行检索和预览；</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6.模型：支持维度和指标，其中维度是报表的X轴，指标是报表的Y轴，指标可支持科学统计如最大、最小、计数等。</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（五）图表</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1.基本管理：图表查询、新增、复制、修改、删除；</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★2.数据模型选择：支持对数据模型进行选择；支持识别分类型和数值型字段，分类型对应维度和删选，数字型对应指标和提示信息；</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图表类型：支持两大类图表，透视表和图表驱动；透视表包括表格、柱状图、折线图、散点图和饼图；图表驱动包括表格、翻牌器、折线图、柱状图、散点图、饼图、漏斗图、雷达图、桑基图、平行坐标图、地图、词云、瀑布图、内嵌网页、富文本、双Y轴图、仪表盘；</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图表设置：支持选择维度；支持选择指标，其中指标包括总计、平均数、计数、去重计算、最大值、最小值和排序，并支持格式设置，格式设置包括默认、数值、货币、百分比和科学型，并支持字段设置，字段包括固定字段别名和动态字段别名，并支持单位和小数点位设置；支持选择数据删选条件；支持选择字段颜色，颜色选择器选择颜色；支持选择字段提示信息；</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5.图表样式：支持边框圆角、柱条宽度、柱条间隔、标签字体、标签位置、标签大小、X轴文字设置、Y轴文字设置、分割线文字设置、是否显示标签、是否XY反转等几十种样式设置，每种报表的样式设置略微不同；</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★6.数据缓存：支持对图表数据缓存，提升图表展示速度；支持缓存是否开启设置；支持缓存有效期设置；是否自动加载数据设置；</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7.整体设置：支持查询触发模式设置，手动和立即；支持多选拖拽设置，是或否。</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（六）可视化-大屏</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★1.手动布局：支持拖拉拽的方式对报表进行手动布局；支持拖拉拽的方式对辅助图形进行手动布局；支持多个报表或图形的自动左对齐、右对齐、上对齐或下对齐；</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★2.报表选择：支持多报表选择；只是单报表定时刷新设置；支持选择报表时按名称进行关键字检索；支持已选报表过滤选择；</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3.辅助图形选择：支持视频、标签、视频和时间器；</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切换设置：支持多个大屏自动切换；支持自动播放或手动播放设置；支持自动播放间隔时间设置；支持全局动画设置，过渡动画包括（无、淡入淡出、滑动、凸镜、凹镜、缩放），过渡动画速度（默认、快、慢）；</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5.大屏背景设置：支持屏幕尺寸设置、背景颜色设置、背景图片上传、缩放设置（等比缩放宽度、等比缩放高度、全屏铺满、实际尺寸）。</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（七）可视化-仪表盘</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1.自动布局：支持自动识别单报表二分之一、三分之一、四分之一等布局提示；支持多报表自动布局；支持单报表拖拽其它报表自动匹配位置布局；</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2.报表选择：支持多选报表；支持报表刷新频率设置；</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3.全局控制器：支持下拉菜单、日期选择、日期范围选择、文本输入框、数字范围输入框，通过字段或变量对仪表盘对报表进行联动控制，可配置需要关联的图表；</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4.联动：支持多个报表联动设置，选择触发报表的Y轴字段，选择联动报表的字段，选择关系（=、!=、like、&gt;、&lt;、&gt;=、&lt;=）；</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5.全屏：支持单个报表全屏展示；支持全屏展示后切换报表展示；支持退出全屏；支持全屏展示过程中全局控制器触发控制。</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（八）数据下载</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支持报表数据离线下载；支持单报表数据下载；支持仪表盘数据下载；</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★（九）数据分享</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支持URL普通分享和授权分享；支持URL多屏显示，如手机屏/电脑屏/平板/投影大屏；</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（十）个人用户设置</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1.修改密码；</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2.修改个人信息；</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3.组织管理：组织查询、新增、修改和删除；</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4.组织下角色管理：角色查询、新增、修改和删除；</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5.组织下成员管理：邀请成员加入组织，移除组织成员，配置成员关联角色；</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6.组织下项目管理：</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基础设置：项目名称，公开或者授权，移交项目，删除项目；</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角色管理：权限设置（功能菜单权限，可视化仪表盘权限，可视化大屏权限）；</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管理员设置：添加管理员、删除管理员。</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★四、流通行业数据包</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平台配套流通行业中日化、母婴、食品、酒饮和家电这五大行业教学数据。</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日化行业：涵盖了各省区日化行业物流、采购、库存、销售和退货环节数据源；</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母婴行业：涵盖了各省区母婴行业物流、采购、库存、销售和退货环节数据源；</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食品行业：涵盖了各省区食品行业物流、采购、库存、销售和退货环节数据源；</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酒饮行业：涵盖了各省区酒饮行业物流、采购、库存、销售和退货环节数据源；</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家电行业：涵盖了各省区家电行业物流、采购、库存、销售和退货环节数据源。</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二、大数据可视化系统</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（一）开发工具平台软件技术指标：</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支持多种图表样式呈现：集成各类展示工具作为基础图形控件，可堆积柱状图、散点图、面积图、折线图、瀑布图、饼形图、环形图、散点图、雷达图、关系图、热力图等一系列图形效果。可以通过电子表格作图完成更为复杂的图形设计，如：甘特图、山行图、手风琴图、子弹图、漏斗图、进度图、复合饼图。以及对表格设置条件格式（数据条、色阶、图标集）。</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支持多维交互样式：通过鼠标拖拉即可实现任意的切片、旋转、钻取，具备多维的、交互式的分析功能，用户界面友好；对于多维分析中的不同角度，比如时间、地区等维度，可以通过上钻、下钻等操作来逐步分析；并支持切片、切块、旋转、分页等多维分析；还可以进行各种排序，以及最大值、最小值、平均值、分组合计和总计等计算。</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★3、具备以空间位置数据呈现渲染的能力：实现基于空间地理位置的数据呈现方式，借助于GIS展示数据，结合动态组件实现数据在地图上的实时动态呈现。</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4、支持三维实时动画交互控制展示模型：基于数据实时渲染技术，利用各种技术从大规模数据通过本系统，实现云数据实时图形可视化、场景化以及实时交互。</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★5、支持多种类型数据连接：系统可以将视频、复杂动画、2D/3D图形及实时数据流进行统一整合，并可使用定制接口，将工业数据与民用数据分类处理的结果，以图形化方式实时呈现并管理。</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6、支持数据实时交互：根据接入数据及其实时变化，参照互联网指数标准，进行结果分析与多方联合呈现。</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★7、支持多种3D建模模型</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包括但不限于以下类型：</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（1）多边形建模：多边形由基于顶点、边和面的几何体组成；</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（2）NURBS：非均匀有理B样条线(NURBS)提供了一种基于几何基本体和绘制曲线的3D建模框架；</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（3）雕刻：使用多边形构建虚拟 3D 曲面；</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★8、支持业界领先的动力学算法</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包括但不限于以下类型：</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（1）关键帧动画：关键帧可以是任意标记，用于指定对象在特定时间内的属性值。</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（2）非线性动画：非线性动画会参考移动、重新排列、操纵和混合这些片段的过程，以生成新的一系列运动。</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（3）时间编辑器：提供基于片段的直观工作流，以便进行非线性动画编辑，能在片段级别的视图和关键帧级别的细节之间轻松导航.</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（4）曲线编辑器：通过使用切线控制柄改变动画曲线的形状，可控制关键帧之间的插值和曲线外插并更改动画曲线值和计时</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（5）路径动画：沿既定三维路径移动的对象设置3D动画.</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（6）运动扑捉动画：运动捕捉可生成大量复杂的运动数据，用于设定动画.</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（7）几何缓存：可以通过缓存对象的变形到几何缓存，将多边形网格、NURBS（包含曲线）曲面和细分曲面变形（蒙皮和非蒙皮）保存到服务器或本地硬盘驱动器</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（8）动画层：使用动画层可以在一个场景中创建和混合多个级别的动画。创建层之后可用于组织新的关键帧动画，或者用于在不覆盖原始曲线的情况下在现有动画顶层设定关键帧</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★9、具备运动图形、动画可视化呈现能力</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包括但不限于以下类型：</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（1）多边形文本：创建3D文本。可按线条、单词或字符对文本进行修改、上色、重新定形和设置动画。对于以下场景特别有用：与曲线扭曲(Curve Warp)变形器结合使用以创建移动或扭曲标题；或者与 MASH 结合使用以形成或分离文本。</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（2）多边形SVG对象：将 2D SVG对象作为3D多边形对象导入，按层对对象进行修改、上色、重新定形和设置动画。快速将向量图像转换为 3D 对象，以便使其翻滚和变形</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（3）MASH程序效果：创建多边形对象的实例或完整网格重现，然后对其应用不同的程序效果。可以组合使用效果，以便形成复合结果。创建并调整形状和颜色的 2D 或 3D 抽象效果</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10、支持角色效果和环境构建</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包括但不限于以下类型：</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（1）交互式修饰：XGen交互式修饰提供了一系列雕刻笔刷、修改器和雕刻层</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（2）几何体实例化器</w:t>
            </w:r>
            <w:r>
              <w:rPr>
                <w:rFonts w:hint="eastAsia" w:ascii="宋体" w:hAnsi="宋体" w:eastAsia="宋体" w:cs="宋体"/>
                <w:color w:val="000000"/>
                <w:kern w:val="0"/>
                <w:sz w:val="24"/>
                <w:szCs w:val="24"/>
              </w:rPr>
              <w:tab/>
            </w:r>
            <w:r>
              <w:rPr>
                <w:rFonts w:hint="eastAsia" w:ascii="宋体" w:hAnsi="宋体" w:eastAsia="宋体" w:cs="宋体"/>
                <w:color w:val="000000"/>
                <w:kern w:val="0"/>
                <w:sz w:val="24"/>
                <w:szCs w:val="24"/>
              </w:rPr>
              <w:t>XGen是以任意数量的随机或均匀放置的基本体填充多边形网格曲面的几何体实例化器</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（3）笔刷特效：“Paint Effects”是唯一支持您在2D画布上绘制笔划以创建2D图像或纹理、或在场景中绘制笔划以创建3D空间中的绘制效果的绘制技术</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（4）雕刻：Artisan™是一个基于直观绘制和雕刻的界面，可在最短时间内提供高质量的复杂结果</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11、支持经典物理动力学模拟能力和效果</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包括但不限于以下类型：</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（1）Bifröst：Bifröst 是一种可使用 FLIP（流体隐式粒子）解算器创建模拟液体和空气动力学效果的程序框架。</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（2）BOSS—Bifröst 海洋模拟系统：通过 Bifröst 海洋模拟系统，可以使用波浪、涟漪和尾迹创建逼真的海洋表面。</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（3）Bullet刚体和柔体动力学：通过 Bullet 物理引擎，可以创建大规模的、高度逼真的动力学和运动学模拟。除了设置游戏引擎和实时模拟之外，还可以使用 Bullet 为胶片和可视化创建渲染动画内容。</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（4）nDynamics模拟框架：动态模拟框架，由一系列 Nucleus 对象组成，其中包括 nCloth、nParticle、nHair、柔体和被动碰撞对象以及动态约束和 Maya Nucleus 解算器</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（5）nParticle：动力学模拟框架的粒子生成系统。使用nParticle可以创建许多类型的效果</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（6）流体效果：真实地模拟和渲染流体运动的技术，使流体动画纹理来获得更加独特的、与众不同的效果</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（7）场：场是用于为动力学对象（如流体、柔体、nParticle 和 nCloth）的运动设置动画的力</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（8）处理动力学对象之间的连接：“动力学关系编辑器”(Dynamic Relationships Editor)，可以连接或断开 Nucleus、流体、场、发射器和非 Nucleus 碰撞对象之间的动力学关系</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★12、支持接入相关系统、部门数据原始数据，进行可视化呈现。接入方式：数据库或数据接口；接入数据格式：JSON, XML, XSL；接入数据库类型：MySQL, SQL Server, OleDB, Oracle,ODBC</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（二）开发工具平台软件功能参数：（★为重点参数项）</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★1、实时渲染能力：城市级3D场景实时渲染技术，支持大型三维场景的实时渲染输出；深层优化三维场景模型、贴图等美术资产及系统性能，保证细节充分呈现的同时，确保系统运行流畅。</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★2、无代码系统开发：客户端本地化部署，确保系统运行安全简捷；基于节点的工作流程、节点拖放操作方式、所见即所得的视觉渲染窗口，让设计师轻松搭建出复杂专业的数据交互系统。</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★3、内置资产库：资产库内置入口，可直接从资产库下载各类设计资产，直接导入至工具工作场景，大大提升制作效率；具备各行业属性的设计资产，让可视化系统搭建更为轻松快捷。</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4、支持多种数据格式：支持直接访问数据库和本地文件；支持HTTP/HTTPS协议，按照Json规范开发数据格式，直接与界面进行对接；支持特定Json格式数据，可通过内置功能组件进行解析。</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★5、逻辑动画编辑：模组编辑、逻辑编辑、时间线动画编辑，为系统的交互体验设定提供了各种可能性，配合强大的实时渲染功能，用户可以实时看到逻辑组合、动画节奏变化、动势衰减等系统界面调试效果。</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6、任意分辨率输出：系统支持任意分辨率运行文件输出，满足项目中不同显示单元的分辨率要求。系统文件通过简单调整便可重新输出不同分辨率运行文件，及时响应在项目交付过程中可能遇到的各类问题。</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（三）相关服务</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提供一个席位的商业版软件授权，交付形式为提供软件安装包及软件运行加密狗，该授权免费维保一年，维保期内可享受软件版本更新服务，维保期内的软件版本为永久授权，维保期过后，如需继续享受软件版本更新服务，需续保；</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2、提供相关培训资料（文本及培训视频），并提供该席位一次免费的线上进阶培训服务（在已进行初版培训的基础上）；</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3、为用户的十个学习版软件帐号开通一年的试用权限；</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4、资产库会提供部分免费的素材（系统模板、三维模型、UI图表等），用户可自行下载使用。</w:t>
            </w:r>
          </w:p>
        </w:tc>
        <w:tc>
          <w:tcPr>
            <w:tcW w:w="457" w:type="dxa"/>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1套</w:t>
            </w:r>
          </w:p>
        </w:tc>
        <w:tc>
          <w:tcPr>
            <w:tcW w:w="1131" w:type="dxa"/>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38</w:t>
            </w:r>
            <w:r>
              <w:rPr>
                <w:rFonts w:hint="eastAsia" w:ascii="宋体" w:hAnsi="宋体" w:eastAsia="宋体" w:cs="宋体"/>
                <w:color w:val="000000"/>
                <w:kern w:val="0"/>
                <w:sz w:val="24"/>
                <w:szCs w:val="24"/>
              </w:rPr>
              <w:t>000</w:t>
            </w:r>
          </w:p>
        </w:tc>
        <w:tc>
          <w:tcPr>
            <w:tcW w:w="992" w:type="dxa"/>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38</w:t>
            </w:r>
            <w:r>
              <w:rPr>
                <w:rFonts w:hint="eastAsia" w:ascii="宋体" w:hAnsi="宋体" w:eastAsia="宋体" w:cs="宋体"/>
                <w:color w:val="000000"/>
                <w:kern w:val="0"/>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pPr>
              <w:widowControl/>
              <w:jc w:val="center"/>
              <w:rPr>
                <w:rFonts w:ascii="宋体" w:hAnsi="宋体" w:eastAsia="宋体" w:cs="宋体"/>
                <w:color w:val="000000"/>
                <w:kern w:val="0"/>
                <w:sz w:val="24"/>
                <w:szCs w:val="24"/>
              </w:rPr>
            </w:pPr>
            <w:r>
              <w:rPr>
                <w:rFonts w:ascii="宋体" w:hAnsi="宋体" w:eastAsia="宋体" w:cs="宋体"/>
                <w:color w:val="000000"/>
                <w:kern w:val="0"/>
                <w:sz w:val="24"/>
                <w:szCs w:val="24"/>
              </w:rPr>
              <w:t>5</w:t>
            </w:r>
          </w:p>
        </w:tc>
        <w:tc>
          <w:tcPr>
            <w:tcW w:w="801" w:type="dxa"/>
            <w:shd w:val="clear" w:color="auto" w:fill="auto"/>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智慧大数据分析与挖掘平台</w:t>
            </w:r>
          </w:p>
        </w:tc>
        <w:tc>
          <w:tcPr>
            <w:tcW w:w="5042" w:type="dxa"/>
            <w:shd w:val="clear" w:color="auto" w:fill="auto"/>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平台能够利用大量的数据挖掘算法选择最佳数据分析算法模型和分析结果；有交互式模型浏览模块，能够进行可视化结果输出，进行可视化结果分析；提供模型评估方法，包括分类预测模型评估、回归预测模型评估、聚类的轮廓系数等内容。</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1、软件功能介绍</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（1）数据软件操作简单清晰，可以通过拖拽数据生成任意类型可视化图形，模型的构造具有高度灵活性。系统包含可视化交互界面、算法模型、数据分析评估、无监督学习模块。</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（2）数据导入与编辑。支持Excel、MySql数据库等多种数据源导入方式，导入后支持具有较强的数据格式兼容性，支持多种类型的数据源或不同格式的数据文件中访问、读取数据；支持数据字段筛选。</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（3）数据清洗：支持将数据中的离群值及异常值进行剔除，可删除或替换无效数据，自动填充缺失值或减少无效数据；</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（4）数据可视化分析：可以将处理后的数据与分析后的数据结果分别输出为多种不同格式的文件或展示为多种视图。支持数据切片等数据透视操作。</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（5）算法模型建立：包含数据分析评估模块以及无监督学习以及常用的统计分析功能如聚类分析等数据挖掘功能,包括；</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异常值检测算法</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关联分析算法</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决策树算法</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回归分析建模与算法</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最近邻建模和评分算法</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神经网络算法</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多种回归模型算法</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序列关联算法</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 xml:space="preserve">时间序列建模与算法 </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模型或算法评估功能</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无监督学习算法</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支持向量机等</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（6）Python 脚本</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支持编写python脚本并运行,可自定义分析算法并运行，以实现数据的挖掘与分析。</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（7）拓展功能</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1）、图像识别—可利用算法对图片数据库进行分析，进行图片分类识别等操作。</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2）、文本挖掘—可分析出多篇文章中高频词汇并可对词汇进行过滤，也可以通过分析文本，分类文本类型，分析文本语义。</w:t>
            </w:r>
            <w:r>
              <w:rPr>
                <w:rFonts w:hint="eastAsia" w:ascii="宋体" w:hAnsi="宋体" w:eastAsia="宋体" w:cs="宋体"/>
                <w:color w:val="000000"/>
                <w:kern w:val="0"/>
                <w:sz w:val="24"/>
                <w:szCs w:val="24"/>
              </w:rPr>
              <w:br w:type="textWrapping"/>
            </w:r>
            <w:r>
              <w:rPr>
                <w:rFonts w:hint="eastAsia" w:ascii="宋体" w:hAnsi="宋体" w:eastAsia="宋体" w:cs="宋体"/>
                <w:kern w:val="0"/>
                <w:sz w:val="24"/>
                <w:szCs w:val="24"/>
              </w:rPr>
              <w:t>（8）实训功能</w:t>
            </w:r>
            <w:r>
              <w:rPr>
                <w:rFonts w:hint="eastAsia" w:ascii="宋体" w:hAnsi="宋体" w:eastAsia="宋体" w:cs="宋体"/>
                <w:kern w:val="0"/>
                <w:sz w:val="24"/>
                <w:szCs w:val="24"/>
              </w:rPr>
              <w:br w:type="textWrapping"/>
            </w:r>
            <w:r>
              <w:rPr>
                <w:rFonts w:hint="eastAsia" w:ascii="宋体" w:hAnsi="宋体" w:eastAsia="宋体" w:cs="宋体"/>
                <w:kern w:val="0"/>
                <w:sz w:val="24"/>
                <w:szCs w:val="24"/>
              </w:rPr>
              <w:t>支持教师端创建任务案例并发布实训任务，学生可根据实训要求，利用平台完成大数据实训，并上传实训报告，教师可在后台评阅实训报告。</w:t>
            </w:r>
            <w:r>
              <w:rPr>
                <w:rFonts w:hint="eastAsia" w:ascii="宋体" w:hAnsi="宋体" w:eastAsia="宋体" w:cs="宋体"/>
                <w:kern w:val="0"/>
                <w:sz w:val="24"/>
                <w:szCs w:val="24"/>
              </w:rPr>
              <w:br w:type="textWrapping"/>
            </w:r>
            <w:r>
              <w:rPr>
                <w:rFonts w:hint="eastAsia" w:ascii="宋体" w:hAnsi="宋体" w:eastAsia="宋体" w:cs="宋体"/>
                <w:kern w:val="0"/>
                <w:sz w:val="24"/>
                <w:szCs w:val="24"/>
              </w:rPr>
              <w:t>（9）理论考核</w:t>
            </w:r>
            <w:r>
              <w:rPr>
                <w:rFonts w:hint="eastAsia" w:ascii="宋体" w:hAnsi="宋体" w:eastAsia="宋体" w:cs="宋体"/>
                <w:kern w:val="0"/>
                <w:sz w:val="24"/>
                <w:szCs w:val="24"/>
              </w:rPr>
              <w:br w:type="textWrapping"/>
            </w:r>
            <w:r>
              <w:rPr>
                <w:rFonts w:hint="eastAsia" w:ascii="宋体" w:hAnsi="宋体" w:eastAsia="宋体" w:cs="宋体"/>
                <w:kern w:val="0"/>
                <w:sz w:val="24"/>
                <w:szCs w:val="24"/>
              </w:rPr>
              <w:t>支持教师端录入试题、建立试卷、并发布考试，考生提交答卷后，系统自动进行判分，目前系统支持题型包含单选题、多选题、填空题、判断题。</w:t>
            </w:r>
            <w:r>
              <w:rPr>
                <w:rFonts w:hint="eastAsia" w:ascii="宋体" w:hAnsi="宋体" w:eastAsia="宋体" w:cs="宋体"/>
                <w:b/>
                <w:bCs/>
                <w:color w:val="000000"/>
                <w:kern w:val="0"/>
                <w:sz w:val="24"/>
                <w:szCs w:val="24"/>
              </w:rPr>
              <w:br w:type="textWrapping"/>
            </w:r>
            <w:r>
              <w:rPr>
                <w:rFonts w:hint="eastAsia" w:ascii="宋体" w:hAnsi="宋体" w:eastAsia="宋体" w:cs="宋体"/>
                <w:color w:val="000000"/>
                <w:kern w:val="0"/>
                <w:sz w:val="24"/>
                <w:szCs w:val="24"/>
              </w:rPr>
              <w:t>（10）配套实训案例</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提供配套教学课件、实验操作手册，其中教学课件应包含实验项目背景、实验目的、实验要求、实验步骤、实验对应理论知识、实验数据、实验结果说明等内容。</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2、提供案例包</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案例1：基于线性回归的快递业务数据预测</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本案例以某快递企业2015年-2019年五年12个月份的快递业务量历史数据为基础，通过建立线性回归分析模型，对2020年11月份和12月份的快递业务量进行预测，为快递企业管理者提供决策依据。</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案例2：安徽家电库存数据分析</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本案例借助数据分析软件，对安徽家电的库存情况，共计9425条数据，进行可视化分析，从不同维度精准刻画库存的变化情况，为管理者决策提供科学的依据。</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案例3：基于大数据技术的品牌指数和用户画像分析</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本案例通过对部分乳企的1000条品牌信息和1000条招聘信息进行深入挖掘，精准刻画分析乳品品牌指数和乳企岗位用户画像，运用K-means聚类算法对乳品行业企业的发展状况进行多方位的评估，指导企业发现问题并给予优化。</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案例4：基于聚类算法的航空客户价值分析</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本案例以某航空公司的历史客户信息共62988条数据为依据，分析客户价值特征，建立RFMLC模型，运用k-means聚类算法进行可视化分析，为该航空公司的客户管理策略提供指导性意见。</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案例5：基于逻辑回归的用户信用评估</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本案例以某平台发布的部分借贷信息共15w条数据作为初始样本，通过随机森林算法对该样本进行特征提取，并建立基于逻辑回归的预测模型，完善用户信用评价体系，帮助企业挖掘出数据中隐藏的违约风险，及时对违约风险进行控制。</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案例6：基于深度神经网络的图像识别</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本案例通过从200张花朵图像中提取子特征信息，利用神经网络建立深度学习模型，自动实现花卉图像的高精度识别并进行自动分类，以此辅助花卉鉴定和花卉生长的自动监测,减少花农的工作,提高花农的生产力。</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★现场演示指定其中2个案例内容，案例内容至少包含实训背景、实训目标、知识准备（讲解案例涉及知识点）、实训步骤（图文并茂）</w:t>
            </w:r>
          </w:p>
        </w:tc>
        <w:tc>
          <w:tcPr>
            <w:tcW w:w="457" w:type="dxa"/>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131" w:type="dxa"/>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160000</w:t>
            </w:r>
          </w:p>
        </w:tc>
        <w:tc>
          <w:tcPr>
            <w:tcW w:w="992" w:type="dxa"/>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pPr>
              <w:widowControl/>
              <w:jc w:val="center"/>
              <w:rPr>
                <w:rFonts w:ascii="宋体" w:hAnsi="宋体" w:eastAsia="宋体" w:cs="宋体"/>
                <w:color w:val="000000"/>
                <w:kern w:val="0"/>
                <w:sz w:val="24"/>
                <w:szCs w:val="24"/>
              </w:rPr>
            </w:pPr>
            <w:r>
              <w:rPr>
                <w:rFonts w:ascii="宋体" w:hAnsi="宋体" w:eastAsia="宋体" w:cs="宋体"/>
                <w:color w:val="000000"/>
                <w:kern w:val="0"/>
                <w:sz w:val="24"/>
                <w:szCs w:val="24"/>
              </w:rPr>
              <w:t>6</w:t>
            </w:r>
          </w:p>
        </w:tc>
        <w:tc>
          <w:tcPr>
            <w:tcW w:w="801" w:type="dxa"/>
            <w:shd w:val="clear" w:color="auto" w:fill="auto"/>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大数据课程资源包与行业案例资源包</w:t>
            </w:r>
          </w:p>
        </w:tc>
        <w:tc>
          <w:tcPr>
            <w:tcW w:w="5042" w:type="dxa"/>
            <w:shd w:val="clear" w:color="auto" w:fill="auto"/>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★每个数据分析案例配有教学课件和数据分析文档，包含背景与挖掘目标、数据预处理、统计分析与可视化以及案例小结4个部分内容。</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一、课程内容</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1.数据分析- 浙江省区采购业务所呈现的行业结构及其成因：</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①原始数据：《浙江省区201907-202007酒饮行业采购数据》、《浙江省区201907-202007日化行业采购数据》、《浙江省区201907-202007母婴行业采购数据》、《浙江省区201907-202007食品行业采购数据》、《浙江省区201907-202007家电行业采购数据》；</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②中间数据：《processed_data》、《百诚各行业采购额占比饼图》、《各地市各行业采购业务占比条形图》、《各地市家电平台采购额占比饼图》、《各地市家电商品品牌采购额占比饼图》、《各地市酒饮平台采购额占比饼图》、《各地市酒饮商品品牌采购额占比饼图》、《各地市酒饮商品税收名称采购额占比饼图》、《各地市母婴平台采购额占比饼图》、《各地市日化平台采购额占比饼图》、《各地市日化商品品牌采购额占比饼图》、《各地市日化商品税收名称采购额占比饼图》、《各地市食品平台采购额占比饼图》、《各地市食品商品品牌采购额占比饼图》、《各地市食品商品税收名称采购额占比饼图》、《各行业采购额占比饼图》、《杭州市、台州市物品种类采购额占比饼图》、《绍兴市、杭州市物品种类采购额占比饼图》、《台州、温州、嘉兴、湖州物品种类采购额占比饼图》、《温州、嘉兴、绍兴、丽水物品种类采购额占比饼图》、《采购品牌词云图1》、《采购品牌词云图2》《采购品牌词云图3》、《浙江地图》；</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③代码：《analyze_draw.py》、《data_process.py》；</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④数据分析流程文档；</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⑤分析报告：数据分析方法及结论；</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2.数据分析-如何提升供应链终端门店盈利能力：</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①原始数据：《流通供应链终端销售数据》；</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②中间数据：《Adhesive 1-10季度销售数据》、《Safety 1-10季度销售数据》、《Tape 1-10季度销售数据》、《CBD店各个商品的季度销售额数据》、《CBD店各个月份的总销售额数据》、《CBD店各季度销售额展示》、《CBD店和社区店不同商品的销售额对比数据》、《CBD店季度与各月份销售额展示数据》、《商品在不同店销售的总销售额数据》、《社区店商品各季度销售额变化数据》、《样本数据箱模型》；</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③代码：《流通供应链终端销售数据.py》；</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④数据分析流程文档；</w:t>
            </w:r>
          </w:p>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⑤分析报告：数据分析方法及结论；</w:t>
            </w:r>
          </w:p>
        </w:tc>
        <w:tc>
          <w:tcPr>
            <w:tcW w:w="457" w:type="dxa"/>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131" w:type="dxa"/>
            <w:shd w:val="clear" w:color="auto" w:fill="auto"/>
            <w:vAlign w:val="center"/>
          </w:tcPr>
          <w:p>
            <w:pPr>
              <w:widowControl/>
              <w:jc w:val="center"/>
              <w:rPr>
                <w:rFonts w:ascii="宋体" w:hAnsi="宋体" w:eastAsia="宋体" w:cs="宋体"/>
                <w:color w:val="000000"/>
                <w:kern w:val="0"/>
                <w:sz w:val="24"/>
                <w:szCs w:val="24"/>
              </w:rPr>
            </w:pPr>
            <w:r>
              <w:rPr>
                <w:rFonts w:ascii="宋体" w:hAnsi="宋体" w:eastAsia="宋体" w:cs="宋体"/>
                <w:color w:val="000000"/>
                <w:kern w:val="0"/>
                <w:sz w:val="24"/>
                <w:szCs w:val="24"/>
              </w:rPr>
              <w:t>194</w:t>
            </w:r>
            <w:r>
              <w:rPr>
                <w:rFonts w:hint="eastAsia" w:ascii="宋体" w:hAnsi="宋体" w:eastAsia="宋体" w:cs="宋体"/>
                <w:color w:val="000000"/>
                <w:kern w:val="0"/>
                <w:sz w:val="24"/>
                <w:szCs w:val="24"/>
              </w:rPr>
              <w:t>000</w:t>
            </w:r>
          </w:p>
        </w:tc>
        <w:tc>
          <w:tcPr>
            <w:tcW w:w="992" w:type="dxa"/>
            <w:shd w:val="clear" w:color="auto" w:fill="auto"/>
            <w:vAlign w:val="center"/>
          </w:tcPr>
          <w:p>
            <w:pPr>
              <w:widowControl/>
              <w:jc w:val="center"/>
              <w:rPr>
                <w:rFonts w:ascii="宋体" w:hAnsi="宋体" w:eastAsia="宋体" w:cs="宋体"/>
                <w:color w:val="000000"/>
                <w:kern w:val="0"/>
                <w:sz w:val="24"/>
                <w:szCs w:val="24"/>
              </w:rPr>
            </w:pPr>
            <w:r>
              <w:rPr>
                <w:rFonts w:ascii="宋体" w:hAnsi="宋体" w:eastAsia="宋体" w:cs="宋体"/>
                <w:color w:val="000000"/>
                <w:kern w:val="0"/>
                <w:sz w:val="24"/>
                <w:szCs w:val="24"/>
              </w:rPr>
              <w:t>194</w:t>
            </w:r>
            <w:r>
              <w:rPr>
                <w:rFonts w:hint="eastAsia" w:ascii="宋体" w:hAnsi="宋体" w:eastAsia="宋体" w:cs="宋体"/>
                <w:color w:val="000000"/>
                <w:kern w:val="0"/>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pPr>
              <w:widowControl/>
              <w:jc w:val="center"/>
              <w:rPr>
                <w:rFonts w:ascii="宋体" w:hAnsi="宋体" w:eastAsia="宋体" w:cs="宋体"/>
                <w:color w:val="000000"/>
                <w:kern w:val="0"/>
                <w:sz w:val="24"/>
                <w:szCs w:val="24"/>
              </w:rPr>
            </w:pPr>
            <w:r>
              <w:rPr>
                <w:rFonts w:ascii="宋体" w:hAnsi="宋体" w:eastAsia="宋体" w:cs="宋体"/>
                <w:color w:val="000000"/>
                <w:kern w:val="0"/>
                <w:sz w:val="24"/>
                <w:szCs w:val="24"/>
              </w:rPr>
              <w:t>7</w:t>
            </w:r>
          </w:p>
        </w:tc>
        <w:tc>
          <w:tcPr>
            <w:tcW w:w="801" w:type="dxa"/>
            <w:shd w:val="clear" w:color="auto" w:fill="auto"/>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其他支持</w:t>
            </w:r>
          </w:p>
        </w:tc>
        <w:tc>
          <w:tcPr>
            <w:tcW w:w="5042" w:type="dxa"/>
            <w:shd w:val="clear" w:color="auto" w:fill="auto"/>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一、企业实训指导教师</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提供中国500强供应链上市企业中高管导师入校课程12课时；</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二、师资班培养</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由校方指定2名教师在三年合作期内参加由企业举办的师资培训班，共计2人次。</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三、教师入企顶岗实习</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由校方指定1名教师在三年合作期内进入企业参加为期3-6个月的顶岗实习。</w:t>
            </w:r>
          </w:p>
        </w:tc>
        <w:tc>
          <w:tcPr>
            <w:tcW w:w="457" w:type="dxa"/>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131" w:type="dxa"/>
            <w:shd w:val="clear" w:color="auto" w:fill="auto"/>
            <w:vAlign w:val="center"/>
          </w:tcPr>
          <w:p>
            <w:pPr>
              <w:widowControl/>
              <w:jc w:val="left"/>
              <w:rPr>
                <w:rFonts w:ascii="宋体" w:hAnsi="宋体" w:eastAsia="宋体" w:cs="宋体"/>
                <w:color w:val="000000"/>
                <w:kern w:val="0"/>
                <w:sz w:val="24"/>
                <w:szCs w:val="24"/>
              </w:rPr>
            </w:pPr>
            <w:r>
              <w:rPr>
                <w:rFonts w:ascii="宋体" w:hAnsi="宋体" w:eastAsia="宋体" w:cs="宋体"/>
                <w:color w:val="000000"/>
                <w:kern w:val="0"/>
                <w:sz w:val="24"/>
                <w:szCs w:val="24"/>
              </w:rPr>
              <w:t>0</w:t>
            </w:r>
          </w:p>
        </w:tc>
        <w:tc>
          <w:tcPr>
            <w:tcW w:w="992" w:type="dxa"/>
            <w:shd w:val="clear" w:color="auto" w:fill="auto"/>
            <w:vAlign w:val="center"/>
          </w:tcPr>
          <w:p>
            <w:pPr>
              <w:widowControl/>
              <w:jc w:val="center"/>
              <w:rPr>
                <w:rFonts w:ascii="宋体" w:hAnsi="宋体" w:eastAsia="宋体" w:cs="宋体"/>
                <w:color w:val="000000"/>
                <w:kern w:val="0"/>
                <w:sz w:val="24"/>
                <w:szCs w:val="24"/>
              </w:rPr>
            </w:pPr>
            <w:r>
              <w:rPr>
                <w:rFonts w:ascii="宋体" w:hAnsi="宋体" w:eastAsia="宋体" w:cs="宋体"/>
                <w:color w:val="000000"/>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5843" w:type="dxa"/>
            <w:gridSpan w:val="2"/>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合计</w:t>
            </w:r>
          </w:p>
        </w:tc>
        <w:tc>
          <w:tcPr>
            <w:tcW w:w="2580" w:type="dxa"/>
            <w:gridSpan w:val="3"/>
            <w:shd w:val="clear" w:color="auto" w:fill="auto"/>
            <w:vAlign w:val="center"/>
          </w:tcPr>
          <w:p>
            <w:pPr>
              <w:widowControl/>
              <w:jc w:val="center"/>
              <w:rPr>
                <w:rFonts w:ascii="宋体" w:hAnsi="宋体" w:eastAsia="宋体" w:cs="宋体"/>
                <w:b/>
                <w:bCs/>
                <w:color w:val="000000"/>
                <w:kern w:val="0"/>
                <w:sz w:val="24"/>
                <w:szCs w:val="24"/>
              </w:rPr>
            </w:pPr>
            <w:r>
              <w:rPr>
                <w:rFonts w:ascii="宋体" w:hAnsi="宋体" w:eastAsia="宋体" w:cs="宋体"/>
                <w:b/>
                <w:bCs/>
                <w:color w:val="000000"/>
                <w:kern w:val="0"/>
                <w:sz w:val="24"/>
                <w:szCs w:val="24"/>
              </w:rPr>
              <w:t>799800</w:t>
            </w:r>
          </w:p>
        </w:tc>
      </w:tr>
    </w:tbl>
    <w:p>
      <w:pPr>
        <w:rPr>
          <w:rFonts w:hint="eastAsia"/>
        </w:rPr>
      </w:pP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FEA"/>
    <w:rsid w:val="00197FEA"/>
    <w:rsid w:val="001A6C8A"/>
    <w:rsid w:val="00202791"/>
    <w:rsid w:val="003B065C"/>
    <w:rsid w:val="0071755E"/>
    <w:rsid w:val="00BE1CB0"/>
    <w:rsid w:val="3E136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1572</Words>
  <Characters>8965</Characters>
  <Lines>74</Lines>
  <Paragraphs>21</Paragraphs>
  <TotalTime>8</TotalTime>
  <ScaleCrop>false</ScaleCrop>
  <LinksUpToDate>false</LinksUpToDate>
  <CharactersWithSpaces>10516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2021-07-09T02:55:00Z</dcterms:created>
  <dc:creator>Microsoft Office 用户</dc:creator>
  <cp:lastModifiedBy>suren</cp:lastModifiedBy>
  <dcterms:modified xsi:type="dcterms:W3CDTF">2021-07-21T09:36:31Z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ECA0F623A3C1448F985090429E1503D4</vt:lpwstr>
  </property>
</Properties>
</file>