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鼓楼校区室外篮球场改造提升项目技术参数</w:t>
      </w:r>
    </w:p>
    <w:p>
      <w:pPr>
        <w:pStyle w:val="2"/>
      </w:pPr>
    </w:p>
    <w:p>
      <w:pPr>
        <w:spacing w:line="360" w:lineRule="auto"/>
        <w:jc w:val="center"/>
        <w:outlineLvl w:val="1"/>
        <w:rPr>
          <w:rFonts w:ascii="宋体" w:hAnsi="宋体"/>
          <w:b/>
          <w:sz w:val="32"/>
          <w:szCs w:val="32"/>
        </w:rPr>
      </w:pPr>
      <w:bookmarkStart w:id="0" w:name="_Toc49242071"/>
      <w:r>
        <w:rPr>
          <w:rFonts w:hint="eastAsia" w:ascii="宋体" w:hAnsi="宋体"/>
          <w:b/>
          <w:sz w:val="32"/>
          <w:szCs w:val="32"/>
        </w:rPr>
        <w:t>招标项目一览表</w:t>
      </w:r>
      <w:bookmarkEnd w:id="0"/>
    </w:p>
    <w:tbl>
      <w:tblPr>
        <w:tblStyle w:val="10"/>
        <w:tblpPr w:leftFromText="180" w:rightFromText="180" w:vertAnchor="text" w:horzAnchor="page" w:tblpX="1602" w:tblpY="90"/>
        <w:tblOverlap w:val="never"/>
        <w:tblW w:w="8982" w:type="dxa"/>
        <w:tblInd w:w="0" w:type="dxa"/>
        <w:tblLayout w:type="fixed"/>
        <w:tblCellMar>
          <w:top w:w="0" w:type="dxa"/>
          <w:left w:w="108" w:type="dxa"/>
          <w:bottom w:w="0" w:type="dxa"/>
          <w:right w:w="108" w:type="dxa"/>
        </w:tblCellMar>
      </w:tblPr>
      <w:tblGrid>
        <w:gridCol w:w="825"/>
        <w:gridCol w:w="2850"/>
        <w:gridCol w:w="795"/>
        <w:gridCol w:w="930"/>
        <w:gridCol w:w="1305"/>
        <w:gridCol w:w="2277"/>
      </w:tblGrid>
      <w:tr>
        <w:tblPrEx>
          <w:tblCellMar>
            <w:top w:w="0" w:type="dxa"/>
            <w:left w:w="108" w:type="dxa"/>
            <w:bottom w:w="0" w:type="dxa"/>
            <w:right w:w="108" w:type="dxa"/>
          </w:tblCellMar>
        </w:tblPrEx>
        <w:trPr>
          <w:trHeight w:val="454" w:hRule="atLeast"/>
        </w:trPr>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序号</w:t>
            </w:r>
          </w:p>
        </w:tc>
        <w:tc>
          <w:tcPr>
            <w:tcW w:w="28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名称</w:t>
            </w:r>
          </w:p>
        </w:tc>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数量</w:t>
            </w:r>
          </w:p>
        </w:tc>
        <w:tc>
          <w:tcPr>
            <w:tcW w:w="9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单价</w:t>
            </w: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金额</w:t>
            </w:r>
          </w:p>
        </w:tc>
        <w:tc>
          <w:tcPr>
            <w:tcW w:w="22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备注</w:t>
            </w:r>
          </w:p>
        </w:tc>
      </w:tr>
      <w:tr>
        <w:tblPrEx>
          <w:tblCellMar>
            <w:top w:w="0" w:type="dxa"/>
            <w:left w:w="108" w:type="dxa"/>
            <w:bottom w:w="0" w:type="dxa"/>
            <w:right w:w="108" w:type="dxa"/>
          </w:tblCellMar>
        </w:tblPrEx>
        <w:trPr>
          <w:trHeight w:val="397" w:hRule="atLeast"/>
        </w:trPr>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w:t>
            </w:r>
          </w:p>
        </w:tc>
        <w:tc>
          <w:tcPr>
            <w:tcW w:w="285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sz w:val="21"/>
                <w:szCs w:val="21"/>
              </w:rPr>
            </w:pPr>
          </w:p>
          <w:p>
            <w:pPr>
              <w:spacing w:before="100" w:beforeAutospacing="1" w:after="100" w:afterAutospacing="1"/>
              <w:jc w:val="center"/>
              <w:rPr>
                <w:sz w:val="21"/>
                <w:szCs w:val="21"/>
              </w:rPr>
            </w:pPr>
            <w:r>
              <w:rPr>
                <w:rFonts w:hint="eastAsia"/>
                <w:sz w:val="21"/>
                <w:szCs w:val="21"/>
              </w:rPr>
              <w:t>篮球场8mm厚硅PU塑胶</w:t>
            </w:r>
          </w:p>
          <w:p>
            <w:pPr>
              <w:pStyle w:val="2"/>
              <w:rPr>
                <w:sz w:val="21"/>
                <w:szCs w:val="21"/>
              </w:rPr>
            </w:pPr>
          </w:p>
        </w:tc>
        <w:tc>
          <w:tcPr>
            <w:tcW w:w="79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510</w:t>
            </w:r>
          </w:p>
        </w:tc>
        <w:tc>
          <w:tcPr>
            <w:tcW w:w="9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130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227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Style w:val="28"/>
                <w:rFonts w:hint="eastAsia" w:ascii="宋体" w:hAnsi="宋体" w:eastAsia="宋体" w:cs="宋体"/>
                <w:sz w:val="21"/>
                <w:szCs w:val="21"/>
              </w:rPr>
              <w:t>塑胶硅PU球场面层任何区域的厚度均应≧8mm，包括篮球场地基础表面处理、硅pu球场铺</w:t>
            </w:r>
            <w:r>
              <w:rPr>
                <w:rStyle w:val="28"/>
                <w:rFonts w:hint="eastAsia" w:ascii="宋体" w:hAnsi="宋体" w:cs="宋体"/>
                <w:sz w:val="21"/>
                <w:szCs w:val="21"/>
                <w:lang w:eastAsia="zh-CN"/>
              </w:rPr>
              <w:t>设</w:t>
            </w:r>
            <w:r>
              <w:rPr>
                <w:rStyle w:val="28"/>
                <w:rFonts w:hint="eastAsia" w:ascii="宋体" w:hAnsi="宋体" w:eastAsia="宋体" w:cs="宋体"/>
                <w:sz w:val="21"/>
                <w:szCs w:val="21"/>
              </w:rPr>
              <w:t>、标志线测画等施工全过程</w:t>
            </w:r>
          </w:p>
        </w:tc>
      </w:tr>
      <w:tr>
        <w:tblPrEx>
          <w:tblCellMar>
            <w:top w:w="0" w:type="dxa"/>
            <w:left w:w="108" w:type="dxa"/>
            <w:bottom w:w="0" w:type="dxa"/>
            <w:right w:w="108" w:type="dxa"/>
          </w:tblCellMar>
        </w:tblPrEx>
        <w:trPr>
          <w:trHeight w:val="734" w:hRule="atLeast"/>
        </w:trPr>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2</w:t>
            </w:r>
          </w:p>
        </w:tc>
        <w:tc>
          <w:tcPr>
            <w:tcW w:w="285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篮球场缓冲区1mm丙烯酸涂料</w:t>
            </w:r>
          </w:p>
        </w:tc>
        <w:tc>
          <w:tcPr>
            <w:tcW w:w="79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186</w:t>
            </w:r>
          </w:p>
        </w:tc>
        <w:tc>
          <w:tcPr>
            <w:tcW w:w="9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130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227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包括打磨场地，滚涂丙烯酸底涂、中涂、面涂等施工全过程。</w:t>
            </w:r>
          </w:p>
        </w:tc>
      </w:tr>
      <w:tr>
        <w:tblPrEx>
          <w:tblCellMar>
            <w:top w:w="0" w:type="dxa"/>
            <w:left w:w="108" w:type="dxa"/>
            <w:bottom w:w="0" w:type="dxa"/>
            <w:right w:w="108" w:type="dxa"/>
          </w:tblCellMar>
        </w:tblPrEx>
        <w:trPr>
          <w:trHeight w:val="512" w:hRule="atLeast"/>
        </w:trPr>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3</w:t>
            </w:r>
          </w:p>
        </w:tc>
        <w:tc>
          <w:tcPr>
            <w:tcW w:w="285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both"/>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固定式篮球架</w:t>
            </w:r>
          </w:p>
        </w:tc>
        <w:tc>
          <w:tcPr>
            <w:tcW w:w="79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1</w:t>
            </w:r>
          </w:p>
        </w:tc>
        <w:tc>
          <w:tcPr>
            <w:tcW w:w="9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130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227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包括拆除原有篮球架、开挖基坑、安装预埋件、浇筑混凝土等。</w:t>
            </w:r>
          </w:p>
        </w:tc>
      </w:tr>
      <w:tr>
        <w:tblPrEx>
          <w:tblCellMar>
            <w:top w:w="0" w:type="dxa"/>
            <w:left w:w="108" w:type="dxa"/>
            <w:bottom w:w="0" w:type="dxa"/>
            <w:right w:w="108" w:type="dxa"/>
          </w:tblCellMar>
        </w:tblPrEx>
        <w:trPr>
          <w:trHeight w:val="622" w:hRule="atLeast"/>
        </w:trPr>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000000" w:themeColor="text1"/>
                <w14:textFill>
                  <w14:solidFill>
                    <w14:schemeClr w14:val="tx1"/>
                  </w14:solidFill>
                </w14:textFill>
              </w:rPr>
            </w:pPr>
          </w:p>
        </w:tc>
        <w:tc>
          <w:tcPr>
            <w:tcW w:w="285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小计：1+2+3</w:t>
            </w:r>
          </w:p>
        </w:tc>
        <w:tc>
          <w:tcPr>
            <w:tcW w:w="79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9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130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p>
        </w:tc>
        <w:tc>
          <w:tcPr>
            <w:tcW w:w="227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最高限价10万元</w:t>
            </w:r>
          </w:p>
        </w:tc>
      </w:tr>
    </w:tbl>
    <w:p/>
    <w:p>
      <w:pPr>
        <w:pStyle w:val="2"/>
        <w:rPr>
          <w:rFonts w:hint="eastAsia" w:eastAsia="宋体"/>
          <w:lang w:eastAsia="zh-CN"/>
        </w:rPr>
      </w:pPr>
      <w:r>
        <w:rPr>
          <w:rFonts w:hint="eastAsia"/>
          <w:lang w:eastAsia="zh-CN"/>
        </w:rPr>
        <w:t>注：</w:t>
      </w:r>
      <w:r>
        <w:rPr>
          <w:rFonts w:hint="eastAsia"/>
          <w:b/>
          <w:bCs/>
          <w:lang w:eastAsia="zh-CN"/>
        </w:rPr>
        <w:t>本项目</w:t>
      </w:r>
      <w:r>
        <w:rPr>
          <w:rFonts w:hint="eastAsia"/>
          <w:b/>
          <w:bCs/>
        </w:rPr>
        <w:t>最高限价10万元</w:t>
      </w:r>
      <w:r>
        <w:rPr>
          <w:rFonts w:hint="eastAsia"/>
          <w:b/>
          <w:bCs/>
          <w:lang w:eastAsia="zh-CN"/>
        </w:rPr>
        <w:t>，</w:t>
      </w:r>
      <w:r>
        <w:rPr>
          <w:rFonts w:hint="eastAsia"/>
        </w:rPr>
        <w:t>报价包含：备件、安装、调试、检验、运输保险、税等费用</w:t>
      </w:r>
      <w:bookmarkStart w:id="26" w:name="_GoBack"/>
      <w:bookmarkEnd w:id="26"/>
      <w:r>
        <w:rPr>
          <w:rFonts w:hint="eastAsia"/>
          <w:lang w:eastAsia="zh-CN"/>
        </w:rPr>
        <w:t>。</w:t>
      </w:r>
    </w:p>
    <w:p/>
    <w:p>
      <w:pPr>
        <w:spacing w:line="360" w:lineRule="auto"/>
        <w:jc w:val="center"/>
        <w:rPr>
          <w:rFonts w:hint="eastAsia" w:ascii="宋体" w:hAnsi="宋体"/>
          <w:b/>
          <w:bCs/>
          <w:sz w:val="28"/>
          <w:szCs w:val="28"/>
        </w:rPr>
      </w:pPr>
      <w:r>
        <w:rPr>
          <w:rFonts w:hint="eastAsia" w:ascii="宋体" w:hAnsi="宋体"/>
          <w:b/>
          <w:bCs/>
          <w:sz w:val="28"/>
          <w:szCs w:val="28"/>
        </w:rPr>
        <w:t>塑胶（硅pu）球场产品技术说明</w:t>
      </w:r>
    </w:p>
    <w:p>
      <w:pPr>
        <w:pStyle w:val="3"/>
        <w:ind w:firstLine="420" w:firstLineChars="200"/>
        <w:rPr>
          <w:rFonts w:hint="eastAsia" w:ascii="微软雅黑" w:hAnsi="微软雅黑" w:eastAsia="宋体" w:cs="微软雅黑"/>
          <w:bCs/>
          <w:sz w:val="21"/>
          <w:szCs w:val="21"/>
          <w:lang w:eastAsia="zh-CN"/>
        </w:rPr>
      </w:pPr>
      <w:bookmarkStart w:id="1" w:name="_Toc16479"/>
      <w:bookmarkStart w:id="2" w:name="_Toc2627"/>
      <w:bookmarkStart w:id="3" w:name="_Toc16255"/>
      <w:bookmarkStart w:id="4" w:name="_Toc18221"/>
      <w:bookmarkStart w:id="5" w:name="_Toc26495"/>
      <w:bookmarkStart w:id="6" w:name="_Toc29169"/>
      <w:bookmarkStart w:id="7" w:name="_Toc5614"/>
      <w:bookmarkStart w:id="8" w:name="_Toc7520"/>
      <w:bookmarkStart w:id="9" w:name="_Toc20190"/>
      <w:bookmarkStart w:id="10" w:name="_Toc8004"/>
      <w:bookmarkStart w:id="11" w:name="_Toc31759"/>
      <w:bookmarkStart w:id="12" w:name="_Toc17533"/>
      <w:bookmarkStart w:id="13" w:name="_Toc9248"/>
      <w:r>
        <w:rPr>
          <w:rFonts w:hint="eastAsia" w:ascii="微软雅黑" w:hAnsi="微软雅黑" w:eastAsia="微软雅黑" w:cs="微软雅黑"/>
          <w:bCs/>
          <w:sz w:val="21"/>
          <w:szCs w:val="21"/>
          <w:lang w:eastAsia="zh-CN"/>
        </w:rPr>
        <w:t>本项目</w:t>
      </w:r>
      <w:r>
        <w:rPr>
          <w:rFonts w:hint="eastAsia" w:ascii="微软雅黑" w:hAnsi="微软雅黑" w:cs="微软雅黑"/>
          <w:bCs/>
          <w:sz w:val="21"/>
          <w:szCs w:val="21"/>
        </w:rPr>
        <w:t>塑胶硅PU</w:t>
      </w:r>
      <w:r>
        <w:rPr>
          <w:rFonts w:hint="eastAsia" w:ascii="微软雅黑" w:hAnsi="微软雅黑" w:eastAsia="微软雅黑" w:cs="微软雅黑"/>
          <w:bCs/>
          <w:sz w:val="21"/>
          <w:szCs w:val="21"/>
          <w:lang w:eastAsia="zh-CN"/>
        </w:rPr>
        <w:t>篮球场的设计、选材、铺装、检测与验收都应</w:t>
      </w:r>
      <w:r>
        <w:rPr>
          <w:rFonts w:hint="eastAsia" w:ascii="宋体" w:hAnsi="宋体" w:cs="宋体"/>
          <w:sz w:val="21"/>
          <w:szCs w:val="21"/>
        </w:rPr>
        <w:t>符合GB</w:t>
      </w:r>
      <w:r>
        <w:rPr>
          <w:rFonts w:hint="eastAsia" w:ascii="宋体" w:hAnsi="宋体" w:cs="宋体"/>
          <w:sz w:val="21"/>
          <w:szCs w:val="21"/>
          <w:lang w:val="en-US" w:eastAsia="zh-CN"/>
        </w:rPr>
        <w:t xml:space="preserve"> </w:t>
      </w:r>
      <w:r>
        <w:rPr>
          <w:rFonts w:hint="eastAsia" w:ascii="宋体" w:hAnsi="宋体" w:cs="宋体"/>
          <w:sz w:val="21"/>
          <w:szCs w:val="21"/>
        </w:rPr>
        <w:t>36246-2018《中小学合成材料面层运动场地》标准要求</w:t>
      </w:r>
      <w:r>
        <w:rPr>
          <w:rFonts w:hint="eastAsia" w:ascii="宋体" w:hAnsi="宋体" w:cs="宋体"/>
          <w:sz w:val="21"/>
          <w:szCs w:val="21"/>
          <w:lang w:eastAsia="zh-CN"/>
        </w:rPr>
        <w:t>。</w:t>
      </w:r>
    </w:p>
    <w:p>
      <w:pPr>
        <w:pStyle w:val="3"/>
        <w:rPr>
          <w:rFonts w:ascii="微软雅黑" w:hAnsi="微软雅黑" w:eastAsia="微软雅黑" w:cs="微软雅黑"/>
          <w:bCs/>
          <w:sz w:val="21"/>
          <w:szCs w:val="21"/>
        </w:rPr>
      </w:pPr>
      <w:r>
        <w:rPr>
          <w:rFonts w:hint="eastAsia" w:ascii="微软雅黑" w:hAnsi="微软雅黑" w:eastAsia="微软雅黑" w:cs="微软雅黑"/>
          <w:bCs/>
          <w:sz w:val="21"/>
          <w:szCs w:val="21"/>
        </w:rPr>
        <w:t>一、</w:t>
      </w:r>
      <w:r>
        <w:rPr>
          <w:rFonts w:hint="eastAsia" w:ascii="微软雅黑" w:hAnsi="微软雅黑" w:cs="微软雅黑"/>
          <w:bCs/>
          <w:sz w:val="21"/>
          <w:szCs w:val="21"/>
        </w:rPr>
        <w:t>塑胶硅PU球场</w:t>
      </w:r>
      <w:r>
        <w:rPr>
          <w:rFonts w:hint="eastAsia" w:ascii="微软雅黑" w:hAnsi="微软雅黑" w:eastAsia="微软雅黑" w:cs="微软雅黑"/>
          <w:bCs/>
          <w:sz w:val="21"/>
          <w:szCs w:val="21"/>
        </w:rPr>
        <w:t>产品技术指标要求：</w:t>
      </w:r>
      <w:bookmarkEnd w:id="1"/>
      <w:bookmarkEnd w:id="2"/>
      <w:bookmarkEnd w:id="3"/>
      <w:bookmarkEnd w:id="4"/>
      <w:bookmarkEnd w:id="5"/>
      <w:bookmarkEnd w:id="6"/>
      <w:bookmarkEnd w:id="7"/>
      <w:bookmarkEnd w:id="8"/>
      <w:bookmarkEnd w:id="9"/>
      <w:bookmarkEnd w:id="10"/>
      <w:bookmarkEnd w:id="11"/>
      <w:bookmarkEnd w:id="12"/>
      <w:bookmarkEnd w:id="13"/>
    </w:p>
    <w:p>
      <w:pPr>
        <w:ind w:firstLine="420" w:firstLineChars="200"/>
        <w:outlineLvl w:val="2"/>
        <w:rPr>
          <w:rStyle w:val="28"/>
          <w:rFonts w:ascii="宋体" w:hAnsi="宋体" w:eastAsia="宋体" w:cs="宋体"/>
          <w:sz w:val="21"/>
          <w:szCs w:val="21"/>
        </w:rPr>
      </w:pPr>
      <w:bookmarkStart w:id="14" w:name="_Toc6647"/>
      <w:bookmarkStart w:id="15" w:name="_Toc18161"/>
      <w:bookmarkStart w:id="16" w:name="_Toc27975"/>
      <w:bookmarkStart w:id="17" w:name="_Toc24639"/>
      <w:bookmarkStart w:id="18" w:name="_Toc20594"/>
      <w:bookmarkStart w:id="19" w:name="_Toc21025"/>
      <w:bookmarkStart w:id="20" w:name="_Toc832"/>
      <w:bookmarkStart w:id="21" w:name="_Toc23263"/>
      <w:bookmarkStart w:id="22" w:name="_Toc16839"/>
      <w:bookmarkStart w:id="23" w:name="_Toc1700"/>
      <w:bookmarkStart w:id="24" w:name="_Toc13899"/>
      <w:bookmarkStart w:id="25" w:name="_Toc14576"/>
      <w:r>
        <w:rPr>
          <w:rStyle w:val="28"/>
          <w:rFonts w:hint="eastAsia" w:ascii="宋体" w:hAnsi="宋体" w:eastAsia="宋体" w:cs="宋体"/>
          <w:sz w:val="21"/>
          <w:szCs w:val="21"/>
        </w:rPr>
        <w:t>1</w:t>
      </w:r>
      <w:r>
        <w:rPr>
          <w:rStyle w:val="28"/>
          <w:rFonts w:hint="eastAsia" w:ascii="宋体" w:hAnsi="宋体" w:cs="宋体"/>
          <w:sz w:val="21"/>
          <w:szCs w:val="21"/>
        </w:rPr>
        <w:t>、</w:t>
      </w:r>
      <w:r>
        <w:rPr>
          <w:rStyle w:val="28"/>
          <w:rFonts w:hint="eastAsia" w:ascii="宋体" w:hAnsi="宋体" w:eastAsia="宋体" w:cs="宋体"/>
          <w:sz w:val="21"/>
          <w:szCs w:val="21"/>
        </w:rPr>
        <w:t>塑胶硅PU球场化学性能</w:t>
      </w:r>
      <w:r>
        <w:rPr>
          <w:rStyle w:val="28"/>
          <w:rFonts w:hint="eastAsia" w:ascii="宋体" w:hAnsi="宋体" w:cs="宋体"/>
          <w:sz w:val="21"/>
          <w:szCs w:val="21"/>
        </w:rPr>
        <w:t>要求</w:t>
      </w:r>
      <w:r>
        <w:rPr>
          <w:rStyle w:val="28"/>
          <w:rFonts w:hint="eastAsia" w:ascii="宋体" w:hAnsi="宋体" w:eastAsia="宋体" w:cs="宋体"/>
          <w:sz w:val="21"/>
          <w:szCs w:val="21"/>
        </w:rPr>
        <w:t>：</w:t>
      </w:r>
      <w:bookmarkEnd w:id="14"/>
      <w:bookmarkEnd w:id="15"/>
      <w:bookmarkEnd w:id="16"/>
      <w:bookmarkEnd w:id="17"/>
      <w:bookmarkEnd w:id="18"/>
      <w:bookmarkEnd w:id="19"/>
      <w:bookmarkEnd w:id="20"/>
      <w:bookmarkEnd w:id="21"/>
      <w:bookmarkEnd w:id="22"/>
      <w:bookmarkEnd w:id="23"/>
      <w:bookmarkEnd w:id="24"/>
      <w:bookmarkEnd w:id="25"/>
    </w:p>
    <w:p>
      <w:pPr>
        <w:ind w:firstLine="420" w:firstLineChars="200"/>
        <w:rPr>
          <w:rFonts w:ascii="宋体" w:hAnsi="宋体" w:cs="宋体"/>
          <w:sz w:val="21"/>
          <w:szCs w:val="21"/>
        </w:rPr>
      </w:pPr>
      <w:r>
        <w:rPr>
          <w:rFonts w:hint="eastAsia" w:ascii="宋体" w:hAnsi="宋体" w:cs="宋体"/>
          <w:sz w:val="21"/>
          <w:szCs w:val="21"/>
        </w:rPr>
        <w:t>1.1使用的非固体原料中有害物质限量符合GB36246-2018《中小学合成材料面层运动场地》标准要求，并提供第三方权威检测机构出具的具备cma标识的测试合格报告复印件加盖公章佐证。</w:t>
      </w:r>
    </w:p>
    <w:p>
      <w:pPr>
        <w:ind w:firstLine="420" w:firstLineChars="200"/>
        <w:rPr>
          <w:rFonts w:ascii="宋体" w:hAnsi="宋体" w:cs="宋体"/>
          <w:sz w:val="21"/>
          <w:szCs w:val="21"/>
        </w:rPr>
      </w:pPr>
      <w:r>
        <w:rPr>
          <w:rFonts w:hint="eastAsia" w:ascii="宋体" w:hAnsi="宋体" w:cs="宋体"/>
          <w:sz w:val="21"/>
          <w:szCs w:val="21"/>
        </w:rPr>
        <w:t>1.2使用的非固体原料（水性面漆）中有害物质限量符合GB 36246-2018《中小学合成材料面层运动场地》标准要求，并提供第三方权威检测机构出具的具备cma标识的测试合格报告复印件加盖公章佐证。</w:t>
      </w:r>
    </w:p>
    <w:p>
      <w:pPr>
        <w:ind w:firstLine="420" w:firstLineChars="200"/>
      </w:pPr>
      <w:r>
        <w:rPr>
          <w:rFonts w:hint="eastAsia" w:ascii="宋体" w:hAnsi="宋体" w:cs="宋体"/>
          <w:sz w:val="21"/>
          <w:szCs w:val="21"/>
        </w:rPr>
        <w:t>1.3硅PU球场面层成品中有害物质限量及气味符合GB 36246-2018《中小学合成材料面层运动场地》标准要求，并提供第三方权威检测机构出具的具备cma标识的测试合格报告复印件加盖公章佐证。</w:t>
      </w:r>
    </w:p>
    <w:p>
      <w:pPr>
        <w:ind w:firstLine="420" w:firstLineChars="200"/>
        <w:rPr>
          <w:rFonts w:ascii="宋体" w:hAnsi="宋体" w:cs="宋体"/>
          <w:sz w:val="21"/>
          <w:szCs w:val="21"/>
        </w:rPr>
      </w:pPr>
      <w:r>
        <w:rPr>
          <w:rFonts w:hint="eastAsia" w:ascii="宋体" w:hAnsi="宋体" w:cs="宋体"/>
          <w:sz w:val="21"/>
          <w:szCs w:val="21"/>
        </w:rPr>
        <w:t>1.4</w:t>
      </w:r>
      <w:r>
        <w:rPr>
          <w:rStyle w:val="28"/>
          <w:rFonts w:hint="eastAsia" w:ascii="宋体" w:hAnsi="宋体" w:eastAsia="宋体" w:cs="宋体"/>
          <w:sz w:val="21"/>
          <w:szCs w:val="21"/>
        </w:rPr>
        <w:t>塑胶硅PU球场</w:t>
      </w:r>
      <w:r>
        <w:rPr>
          <w:rFonts w:hint="eastAsia" w:ascii="宋体" w:hAnsi="宋体" w:cs="宋体"/>
          <w:sz w:val="21"/>
          <w:szCs w:val="21"/>
        </w:rPr>
        <w:t>所使用的防水底漆依据GB 36246-2018《中小学合成材料面层运动场地》标准检验合格，并提供第三方权威机构出具的具备cma标识的性能测试报告复印件加盖公章佐证，原件备查。</w:t>
      </w:r>
    </w:p>
    <w:p>
      <w:pPr>
        <w:ind w:firstLine="420" w:firstLineChars="200"/>
        <w:rPr>
          <w:rFonts w:ascii="宋体" w:hAnsi="宋体" w:cs="宋体"/>
          <w:sz w:val="21"/>
          <w:szCs w:val="21"/>
        </w:rPr>
      </w:pPr>
      <w:r>
        <w:rPr>
          <w:rStyle w:val="28"/>
          <w:rFonts w:hint="eastAsia" w:ascii="宋体" w:hAnsi="宋体" w:eastAsia="宋体" w:cs="宋体"/>
          <w:sz w:val="21"/>
          <w:szCs w:val="21"/>
        </w:rPr>
        <w:t>2、塑胶硅PU球场面层耐人工气候老化性能、无机物填料及高聚合物含量</w:t>
      </w:r>
      <w:r>
        <w:rPr>
          <w:rFonts w:hint="eastAsia" w:ascii="宋体" w:hAnsi="宋体" w:cs="宋体"/>
          <w:sz w:val="21"/>
          <w:szCs w:val="21"/>
        </w:rPr>
        <w:t>符合GB36246-2018《中小学合成材料面层运动场地》标准要求。</w:t>
      </w:r>
    </w:p>
    <w:p>
      <w:pPr>
        <w:pStyle w:val="2"/>
      </w:pPr>
    </w:p>
    <w:p>
      <w:pPr>
        <w:ind w:firstLine="420" w:firstLineChars="200"/>
        <w:rPr>
          <w:rFonts w:ascii="宋体" w:hAnsi="宋体" w:cs="宋体"/>
          <w:sz w:val="21"/>
          <w:szCs w:val="21"/>
        </w:rPr>
      </w:pPr>
      <w:r>
        <w:rPr>
          <w:rStyle w:val="28"/>
          <w:rFonts w:hint="eastAsia" w:ascii="宋体" w:hAnsi="宋体" w:eastAsia="宋体" w:cs="宋体"/>
          <w:sz w:val="21"/>
          <w:szCs w:val="21"/>
        </w:rPr>
        <w:t>3、塑胶硅PU球场</w:t>
      </w:r>
      <w:r>
        <w:rPr>
          <w:rFonts w:hint="eastAsia" w:ascii="宋体" w:hAnsi="宋体" w:cs="宋体"/>
          <w:sz w:val="21"/>
          <w:szCs w:val="21"/>
        </w:rPr>
        <w:t>面层成品中物理机械性能符合GB36246-2018《中小学合成材料面层运动场地》标准要求，并提供第三方权威检测机构出具的具备cma标识的测试合格报告复印件加盖公章佐证，原件备查。</w:t>
      </w:r>
    </w:p>
    <w:p>
      <w:pPr>
        <w:ind w:firstLine="420" w:firstLineChars="200"/>
        <w:rPr>
          <w:rFonts w:ascii="宋体" w:hAnsi="宋体" w:cs="宋体"/>
          <w:sz w:val="21"/>
          <w:szCs w:val="21"/>
        </w:rPr>
      </w:pPr>
      <w:r>
        <w:rPr>
          <w:rStyle w:val="28"/>
          <w:rFonts w:hint="eastAsia" w:ascii="宋体" w:hAnsi="宋体" w:eastAsia="宋体" w:cs="宋体"/>
          <w:sz w:val="21"/>
          <w:szCs w:val="21"/>
        </w:rPr>
        <w:t>4、塑胶硅PU球场</w:t>
      </w:r>
      <w:r>
        <w:rPr>
          <w:rFonts w:hint="eastAsia" w:ascii="宋体" w:hAnsi="宋体" w:cs="宋体"/>
          <w:sz w:val="21"/>
          <w:szCs w:val="21"/>
        </w:rPr>
        <w:t>划线漆应无结块、结皮、易于搅拌，应无发皱、泛花、起泡、开裂、发粘等现象，颜色范围应符合GB/T8416</w:t>
      </w:r>
      <w:r>
        <w:rPr>
          <w:rFonts w:hint="eastAsia" w:ascii="宋体" w:hAnsi="宋体" w:cs="宋体"/>
          <w:sz w:val="21"/>
          <w:szCs w:val="21"/>
          <w:lang w:val="en-US" w:eastAsia="zh-CN"/>
        </w:rPr>
        <w:t>-2003</w:t>
      </w:r>
      <w:r>
        <w:rPr>
          <w:rFonts w:hint="eastAsia" w:ascii="宋体" w:hAnsi="宋体" w:cs="宋体"/>
          <w:sz w:val="21"/>
          <w:szCs w:val="21"/>
        </w:rPr>
        <w:t>的规定，刷涂、空气或无空气喷涂施工性能良好，附着力</w:t>
      </w:r>
      <w:r>
        <w:rPr>
          <w:rFonts w:hint="eastAsia" w:ascii="宋体" w:hAnsi="宋体" w:cs="宋体"/>
          <w:sz w:val="21"/>
          <w:szCs w:val="21"/>
          <w:lang w:eastAsia="zh-CN"/>
        </w:rPr>
        <w:t>、</w:t>
      </w:r>
      <w:r>
        <w:rPr>
          <w:rFonts w:hint="eastAsia" w:ascii="宋体" w:hAnsi="宋体" w:cs="宋体"/>
          <w:sz w:val="21"/>
          <w:szCs w:val="21"/>
        </w:rPr>
        <w:t>耐磨性</w:t>
      </w:r>
      <w:r>
        <w:rPr>
          <w:rFonts w:hint="eastAsia" w:ascii="宋体" w:hAnsi="宋体" w:cs="宋体"/>
          <w:sz w:val="21"/>
          <w:szCs w:val="21"/>
          <w:lang w:eastAsia="zh-CN"/>
        </w:rPr>
        <w:t>符合规范要求，经</w:t>
      </w:r>
      <w:r>
        <w:rPr>
          <w:rFonts w:hint="eastAsia" w:ascii="宋体" w:hAnsi="宋体" w:cs="宋体"/>
          <w:sz w:val="21"/>
          <w:szCs w:val="21"/>
        </w:rPr>
        <w:t>试验，</w:t>
      </w:r>
      <w:r>
        <w:rPr>
          <w:rFonts w:hint="eastAsia" w:ascii="宋体" w:hAnsi="宋体" w:cs="宋体"/>
          <w:sz w:val="21"/>
          <w:szCs w:val="21"/>
          <w:highlight w:val="none"/>
        </w:rPr>
        <w:t>应无开裂</w:t>
      </w:r>
      <w:r>
        <w:rPr>
          <w:rFonts w:hint="eastAsia" w:ascii="宋体" w:hAnsi="宋体" w:cs="宋体"/>
          <w:sz w:val="21"/>
          <w:szCs w:val="21"/>
          <w:highlight w:val="none"/>
          <w:lang w:eastAsia="zh-CN"/>
        </w:rPr>
        <w:t>、</w:t>
      </w:r>
      <w:r>
        <w:rPr>
          <w:rFonts w:hint="eastAsia" w:ascii="宋体" w:hAnsi="宋体" w:cs="宋体"/>
          <w:sz w:val="21"/>
          <w:szCs w:val="21"/>
          <w:highlight w:val="none"/>
        </w:rPr>
        <w:t>无龟裂、起泡、孔隙、剥离、起皱及严重变色</w:t>
      </w:r>
      <w:r>
        <w:rPr>
          <w:rFonts w:hint="eastAsia" w:ascii="宋体" w:hAnsi="宋体" w:cs="宋体"/>
          <w:sz w:val="21"/>
          <w:szCs w:val="21"/>
        </w:rPr>
        <w:t>等异常现象，并提供第三方权威机构出具的具备cma标识的性能测试合格报告复印件加盖公章佐证，原件备查。</w:t>
      </w:r>
    </w:p>
    <w:p>
      <w:pPr>
        <w:ind w:firstLine="420" w:firstLineChars="200"/>
      </w:pPr>
      <w:r>
        <w:rPr>
          <w:rStyle w:val="28"/>
          <w:rFonts w:hint="eastAsia" w:ascii="宋体" w:hAnsi="宋体" w:eastAsia="宋体" w:cs="宋体"/>
          <w:sz w:val="21"/>
          <w:szCs w:val="21"/>
        </w:rPr>
        <w:t>5、塑胶硅PU球场面层任何区域的厚度均应</w:t>
      </w:r>
      <w:r>
        <w:rPr>
          <w:rStyle w:val="28"/>
          <w:rFonts w:ascii="Arial" w:hAnsi="Arial" w:eastAsia="宋体" w:cs="Arial"/>
          <w:sz w:val="21"/>
          <w:szCs w:val="21"/>
        </w:rPr>
        <w:t>≥</w:t>
      </w:r>
      <w:r>
        <w:rPr>
          <w:rStyle w:val="28"/>
          <w:rFonts w:hint="eastAsia" w:ascii="宋体" w:hAnsi="宋体" w:eastAsia="宋体" w:cs="宋体"/>
          <w:sz w:val="21"/>
          <w:szCs w:val="21"/>
        </w:rPr>
        <w:t>8mm。</w:t>
      </w:r>
    </w:p>
    <w:p>
      <w:pPr>
        <w:pStyle w:val="3"/>
        <w:rPr>
          <w:rFonts w:ascii="微软雅黑" w:hAnsi="微软雅黑" w:cs="微软雅黑"/>
          <w:bCs/>
          <w:sz w:val="21"/>
          <w:szCs w:val="21"/>
        </w:rPr>
      </w:pPr>
      <w:r>
        <w:rPr>
          <w:rFonts w:hint="eastAsia" w:ascii="微软雅黑" w:hAnsi="微软雅黑" w:eastAsia="微软雅黑" w:cs="微软雅黑"/>
          <w:bCs/>
          <w:sz w:val="21"/>
          <w:szCs w:val="21"/>
        </w:rPr>
        <w:t>二、</w:t>
      </w:r>
      <w:r>
        <w:rPr>
          <w:rFonts w:hint="eastAsia" w:ascii="微软雅黑" w:hAnsi="微软雅黑" w:cs="微软雅黑"/>
          <w:bCs/>
          <w:sz w:val="21"/>
          <w:szCs w:val="21"/>
        </w:rPr>
        <w:t>塑胶硅PU球场铺装要求</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铺装前应提供所需使用的原材料清单（包括品名和数量）、按照GB/T16483编写的化学品安全技术说明书和型式检验报告，所使用的原料以及铺装后的运动场地在正常及预期使用条件下不应对人体健康和生态环境产生危害。</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在铺装前检查确认上一步工序是否合格，检查场地是否干净、平整、清洁无杂物，察看有无局部生胶、鼓泡、积水和检测平均厚度是否达到工艺要求，确认符合要求后进行铺装。</w:t>
      </w:r>
    </w:p>
    <w:p>
      <w:pPr>
        <w:pStyle w:val="3"/>
        <w:ind w:firstLine="422" w:firstLineChars="200"/>
        <w:rPr>
          <w:rFonts w:ascii="宋体" w:hAnsi="宋体" w:cs="宋体"/>
          <w:sz w:val="21"/>
          <w:szCs w:val="21"/>
        </w:rPr>
      </w:pPr>
      <w:r>
        <w:rPr>
          <w:rFonts w:hint="eastAsia" w:ascii="宋体" w:hAnsi="宋体" w:cs="宋体"/>
          <w:sz w:val="21"/>
          <w:szCs w:val="21"/>
        </w:rPr>
        <w:t>1、基础表面处理</w:t>
      </w:r>
    </w:p>
    <w:p>
      <w:pPr>
        <w:spacing w:line="400" w:lineRule="exact"/>
        <w:ind w:firstLine="420" w:firstLineChars="200"/>
        <w:rPr>
          <w:rFonts w:ascii="宋体" w:hAnsi="宋体" w:cs="宋体"/>
          <w:b/>
          <w:bCs/>
          <w:color w:val="000000"/>
          <w:sz w:val="21"/>
          <w:szCs w:val="21"/>
          <w:shd w:val="clear" w:color="auto" w:fill="FFFFFF"/>
        </w:rPr>
      </w:pPr>
      <w:r>
        <w:rPr>
          <w:rFonts w:hint="eastAsia" w:ascii="宋体" w:hAnsi="宋体" w:cs="宋体"/>
          <w:sz w:val="21"/>
          <w:szCs w:val="21"/>
        </w:rPr>
        <w:t>水泥混泥土基础：</w:t>
      </w:r>
      <w:r>
        <w:rPr>
          <w:rFonts w:hint="eastAsia" w:ascii="宋体" w:hAnsi="宋体" w:cs="宋体"/>
          <w:color w:val="000000"/>
          <w:sz w:val="21"/>
          <w:szCs w:val="21"/>
        </w:rPr>
        <w:t>局部凸突处用打磨机定点打磨；局部低凹处使用加水泥混泥土加强腻子填补平整；局部低凹处使用单组份胶水加石英砂填补平整</w:t>
      </w:r>
      <w:r>
        <w:rPr>
          <w:rFonts w:hint="eastAsia" w:ascii="宋体" w:hAnsi="宋体" w:cs="宋体"/>
          <w:bCs/>
          <w:color w:val="000000"/>
          <w:sz w:val="21"/>
          <w:szCs w:val="21"/>
        </w:rPr>
        <w:t>。</w:t>
      </w:r>
    </w:p>
    <w:p>
      <w:pPr>
        <w:pStyle w:val="3"/>
        <w:ind w:firstLine="422" w:firstLineChars="200"/>
        <w:rPr>
          <w:rFonts w:ascii="宋体" w:hAnsi="宋体" w:cs="宋体"/>
          <w:sz w:val="21"/>
          <w:szCs w:val="21"/>
        </w:rPr>
      </w:pPr>
      <w:r>
        <w:rPr>
          <w:rFonts w:hint="eastAsia" w:ascii="宋体" w:hAnsi="宋体" w:cs="宋体"/>
          <w:sz w:val="21"/>
          <w:szCs w:val="21"/>
        </w:rPr>
        <w:t>2、</w:t>
      </w:r>
      <w:r>
        <w:rPr>
          <w:rStyle w:val="28"/>
          <w:rFonts w:hint="eastAsia" w:ascii="宋体" w:hAnsi="宋体" w:eastAsia="宋体" w:cs="宋体"/>
          <w:sz w:val="21"/>
          <w:szCs w:val="21"/>
        </w:rPr>
        <w:t>塑胶</w:t>
      </w:r>
      <w:r>
        <w:rPr>
          <w:rFonts w:hint="eastAsia" w:ascii="宋体" w:hAnsi="宋体" w:cs="宋体"/>
          <w:sz w:val="21"/>
          <w:szCs w:val="21"/>
        </w:rPr>
        <w:t>硅pu球场弹性层施工</w:t>
      </w:r>
    </w:p>
    <w:p>
      <w:pPr>
        <w:spacing w:line="400" w:lineRule="exact"/>
        <w:ind w:firstLine="420" w:firstLineChars="200"/>
        <w:rPr>
          <w:sz w:val="21"/>
          <w:szCs w:val="21"/>
        </w:rPr>
      </w:pPr>
      <w:r>
        <w:rPr>
          <w:rFonts w:hint="eastAsia"/>
          <w:sz w:val="21"/>
          <w:szCs w:val="21"/>
        </w:rPr>
        <w:t>弹性层为单组份材料，每道涂刮厚度不能超过2mm，</w:t>
      </w:r>
      <w:r>
        <w:rPr>
          <w:rFonts w:hint="eastAsia" w:ascii="宋体" w:hAnsi="宋体" w:cs="宋体"/>
          <w:color w:val="000000"/>
          <w:sz w:val="21"/>
          <w:szCs w:val="21"/>
        </w:rPr>
        <w:t>单组份硅pu球场材料用量≥2.4kg/㎡。</w:t>
      </w:r>
      <w:r>
        <w:rPr>
          <w:rFonts w:hint="eastAsia"/>
          <w:sz w:val="21"/>
          <w:szCs w:val="21"/>
        </w:rPr>
        <w:t>每道涂刮时间间隔为前一道干固为准，直至涂刮到新要求厚度。应避免在烈日下施工。弹性层干固后，用积水法测试表面平整度，积水处用弹性层修补平整。表面有粒状杂物混入或堆积处需用磨机修整平才能进行加强层施工。</w:t>
      </w:r>
    </w:p>
    <w:p>
      <w:pPr>
        <w:rPr>
          <w:b/>
          <w:bCs/>
          <w:sz w:val="21"/>
          <w:szCs w:val="21"/>
        </w:rPr>
      </w:pPr>
      <w:r>
        <w:rPr>
          <w:rFonts w:hint="eastAsia" w:ascii="宋体" w:hAnsi="宋体" w:cs="宋体"/>
          <w:b/>
          <w:bCs/>
          <w:color w:val="000000"/>
          <w:sz w:val="21"/>
          <w:szCs w:val="21"/>
        </w:rPr>
        <w:t xml:space="preserve">    3、</w:t>
      </w:r>
      <w:r>
        <w:rPr>
          <w:rStyle w:val="28"/>
          <w:rFonts w:hint="eastAsia" w:ascii="宋体" w:hAnsi="宋体" w:eastAsia="宋体" w:cs="宋体"/>
          <w:b/>
          <w:bCs/>
          <w:sz w:val="21"/>
          <w:szCs w:val="21"/>
        </w:rPr>
        <w:t>塑胶</w:t>
      </w:r>
      <w:r>
        <w:rPr>
          <w:rFonts w:hint="eastAsia" w:ascii="宋体" w:hAnsi="宋体" w:cs="宋体"/>
          <w:b/>
          <w:bCs/>
          <w:sz w:val="21"/>
          <w:szCs w:val="21"/>
        </w:rPr>
        <w:t>硅pu球场加强层施工</w:t>
      </w:r>
    </w:p>
    <w:p>
      <w:pPr>
        <w:spacing w:line="360" w:lineRule="auto"/>
        <w:ind w:firstLine="420" w:firstLineChars="200"/>
        <w:rPr>
          <w:sz w:val="21"/>
          <w:szCs w:val="21"/>
        </w:rPr>
      </w:pPr>
      <w:r>
        <w:rPr>
          <w:rFonts w:hint="eastAsia"/>
          <w:sz w:val="21"/>
          <w:szCs w:val="21"/>
        </w:rPr>
        <w:t>加强层为单组份材料，施工使用方法与弹性层一致。干固后表面要求平整光滑，若在施工过程中混入杂物或不平处需修整平滑后才能进行面层施工。</w:t>
      </w:r>
    </w:p>
    <w:p>
      <w:pPr>
        <w:spacing w:line="360" w:lineRule="auto"/>
        <w:ind w:firstLine="420" w:firstLineChars="200"/>
        <w:rPr>
          <w:sz w:val="21"/>
          <w:szCs w:val="21"/>
        </w:rPr>
      </w:pPr>
      <w:r>
        <w:rPr>
          <w:rFonts w:hint="eastAsia"/>
          <w:sz w:val="21"/>
          <w:szCs w:val="21"/>
        </w:rPr>
        <w:t>4、</w:t>
      </w:r>
      <w:r>
        <w:rPr>
          <w:rStyle w:val="28"/>
          <w:rFonts w:hint="eastAsia" w:ascii="宋体" w:hAnsi="宋体" w:eastAsia="宋体" w:cs="宋体"/>
          <w:b/>
          <w:bCs/>
          <w:sz w:val="21"/>
          <w:szCs w:val="21"/>
        </w:rPr>
        <w:t>塑胶</w:t>
      </w:r>
      <w:r>
        <w:rPr>
          <w:rFonts w:hint="eastAsia" w:ascii="宋体" w:hAnsi="宋体" w:cs="宋体"/>
          <w:b/>
          <w:bCs/>
          <w:sz w:val="21"/>
          <w:szCs w:val="21"/>
        </w:rPr>
        <w:t>硅pu球场面层施工</w:t>
      </w:r>
    </w:p>
    <w:p>
      <w:pPr>
        <w:spacing w:line="360" w:lineRule="auto"/>
        <w:ind w:firstLine="420" w:firstLineChars="200"/>
        <w:rPr>
          <w:sz w:val="21"/>
          <w:szCs w:val="21"/>
        </w:rPr>
      </w:pPr>
      <w:r>
        <w:rPr>
          <w:rFonts w:hint="eastAsia"/>
          <w:sz w:val="21"/>
          <w:szCs w:val="21"/>
        </w:rPr>
        <w:t>面层为双组份材料，</w:t>
      </w:r>
      <w:r>
        <w:rPr>
          <w:rFonts w:hint="eastAsia" w:ascii="宋体" w:hAnsi="宋体" w:cs="宋体"/>
          <w:color w:val="000000"/>
          <w:sz w:val="21"/>
          <w:szCs w:val="21"/>
        </w:rPr>
        <w:t>面漆层综合料≥0.25kg/㎡，分三遍铺装，</w:t>
      </w:r>
      <w:r>
        <w:rPr>
          <w:rFonts w:hint="eastAsia"/>
          <w:sz w:val="21"/>
          <w:szCs w:val="21"/>
        </w:rPr>
        <w:t>应避免烈日及表面温度过高情况下施工，保证表面效果。</w:t>
      </w:r>
    </w:p>
    <w:p>
      <w:pPr>
        <w:pStyle w:val="3"/>
        <w:rPr>
          <w:rFonts w:ascii="宋体" w:hAnsi="宋体" w:cs="宋体"/>
          <w:color w:val="000000"/>
          <w:sz w:val="21"/>
          <w:szCs w:val="21"/>
        </w:rPr>
      </w:pPr>
    </w:p>
    <w:p>
      <w:pPr>
        <w:pStyle w:val="3"/>
        <w:rPr>
          <w:rFonts w:ascii="宋体" w:hAnsi="宋体" w:cs="宋体"/>
          <w:sz w:val="21"/>
          <w:szCs w:val="21"/>
        </w:rPr>
      </w:pPr>
      <w:r>
        <w:rPr>
          <w:rFonts w:hint="eastAsia" w:ascii="宋体" w:hAnsi="宋体" w:cs="宋体"/>
          <w:sz w:val="21"/>
          <w:szCs w:val="21"/>
        </w:rPr>
        <w:t>三、篮球场标志线测画</w:t>
      </w:r>
    </w:p>
    <w:p>
      <w:pPr>
        <w:spacing w:line="400" w:lineRule="exact"/>
        <w:ind w:firstLine="420"/>
        <w:rPr>
          <w:rFonts w:ascii="宋体" w:hAnsi="宋体" w:cs="宋体"/>
          <w:color w:val="000000"/>
          <w:sz w:val="21"/>
          <w:szCs w:val="21"/>
        </w:rPr>
      </w:pPr>
      <w:r>
        <w:rPr>
          <w:rFonts w:hint="eastAsia" w:ascii="宋体" w:hAnsi="宋体" w:cs="宋体"/>
          <w:color w:val="000000"/>
          <w:sz w:val="21"/>
          <w:szCs w:val="21"/>
        </w:rPr>
        <w:t>硅PU球场面漆层材料铺装完后8小时，才可进行划线工序。在划线前检查确认双组份聚氨酯球场面漆层是否合格，能否满足划线条件，确认后才可进行划线。</w:t>
      </w:r>
    </w:p>
    <w:p>
      <w:pPr>
        <w:spacing w:line="400" w:lineRule="exact"/>
        <w:ind w:firstLine="420"/>
        <w:rPr>
          <w:rFonts w:ascii="宋体" w:hAnsi="宋体" w:cs="宋体"/>
          <w:color w:val="000000"/>
          <w:spacing w:val="-4"/>
          <w:sz w:val="21"/>
          <w:szCs w:val="21"/>
        </w:rPr>
      </w:pPr>
      <w:r>
        <w:rPr>
          <w:rFonts w:hint="eastAsia" w:ascii="宋体" w:hAnsi="宋体" w:cs="宋体"/>
          <w:color w:val="000000"/>
          <w:spacing w:val="-4"/>
          <w:sz w:val="21"/>
          <w:szCs w:val="21"/>
        </w:rPr>
        <w:t>划线时按照球场的规格尺寸标准标出界线位置，用美纹纸沿界线两边贴好，用小油刷直接刷涂，在双组份聚氨酯面漆层上要划标线的部位涂刷一至两遍划线漆，待划线漆固化后撕掉美纹纸。画线后最少保养三天才能正式使用。</w:t>
      </w:r>
    </w:p>
    <w:p>
      <w:pPr>
        <w:numPr>
          <w:ilvl w:val="0"/>
          <w:numId w:val="1"/>
        </w:numPr>
        <w:spacing w:line="480" w:lineRule="exact"/>
        <w:rPr>
          <w:rFonts w:ascii="宋体" w:hAnsi="宋体" w:cs="宋体"/>
          <w:b/>
          <w:bCs/>
          <w:sz w:val="21"/>
          <w:szCs w:val="21"/>
        </w:rPr>
      </w:pPr>
      <w:r>
        <w:rPr>
          <w:rFonts w:hint="eastAsia" w:ascii="宋体" w:hAnsi="宋体" w:cs="宋体"/>
          <w:b/>
          <w:bCs/>
          <w:sz w:val="21"/>
          <w:szCs w:val="21"/>
        </w:rPr>
        <w:t>篮球场缓冲区丙烯酸涂料</w:t>
      </w:r>
    </w:p>
    <w:p>
      <w:pPr>
        <w:pStyle w:val="2"/>
        <w:rPr>
          <w:rFonts w:ascii="宋体" w:hAnsi="宋体" w:cs="宋体"/>
          <w:color w:val="000000"/>
          <w:spacing w:val="-4"/>
          <w:sz w:val="21"/>
          <w:szCs w:val="21"/>
        </w:rPr>
      </w:pPr>
      <w:r>
        <w:rPr>
          <w:rFonts w:hint="eastAsia"/>
        </w:rPr>
        <w:t xml:space="preserve">   </w:t>
      </w:r>
      <w:r>
        <w:rPr>
          <w:rFonts w:hint="eastAsia" w:ascii="宋体" w:hAnsi="宋体" w:cs="宋体"/>
          <w:color w:val="000000"/>
          <w:spacing w:val="-4"/>
          <w:sz w:val="21"/>
          <w:szCs w:val="21"/>
        </w:rPr>
        <w:t>丙烯酸涂料面层材料应符合GB/T22517.7-2018标准非固体原料中有害物质限量要求检测合格。底涂一层，中涂2层，面涂2层，应无发皱、泛花、起泡、发粘等现象。</w:t>
      </w:r>
    </w:p>
    <w:p>
      <w:pPr>
        <w:spacing w:line="480" w:lineRule="exact"/>
        <w:rPr>
          <w:rFonts w:ascii="宋体" w:hAnsi="宋体" w:cs="宋体"/>
          <w:b/>
          <w:bCs/>
          <w:sz w:val="21"/>
          <w:szCs w:val="21"/>
        </w:rPr>
      </w:pPr>
      <w:r>
        <w:rPr>
          <w:rFonts w:hint="eastAsia" w:ascii="宋体" w:hAnsi="宋体" w:cs="宋体"/>
          <w:b/>
          <w:bCs/>
          <w:sz w:val="21"/>
          <w:szCs w:val="21"/>
        </w:rPr>
        <w:t>五、固定式单臂篮球架</w:t>
      </w:r>
    </w:p>
    <w:p>
      <w:pPr>
        <w:pStyle w:val="2"/>
        <w:spacing w:after="0"/>
        <w:ind w:firstLine="420" w:firstLineChars="200"/>
      </w:pPr>
      <w:r>
        <w:rPr>
          <w:rFonts w:hint="eastAsia" w:ascii="宋体" w:hAnsi="宋体" w:cs="宋体"/>
          <w:sz w:val="21"/>
          <w:szCs w:val="21"/>
        </w:rPr>
        <w:t>1、篮球架参照标准：</w:t>
      </w:r>
      <w:r>
        <w:rPr>
          <w:rFonts w:hint="eastAsia"/>
        </w:rPr>
        <w:t>GB/T23176-2008</w:t>
      </w:r>
    </w:p>
    <w:p>
      <w:pPr>
        <w:keepNext/>
        <w:spacing w:line="360" w:lineRule="auto"/>
        <w:ind w:firstLine="420" w:firstLineChars="200"/>
        <w:rPr>
          <w:rFonts w:ascii="宋体" w:hAnsi="宋体" w:cs="宋体"/>
          <w:sz w:val="21"/>
          <w:szCs w:val="21"/>
        </w:rPr>
      </w:pPr>
      <w:r>
        <w:rPr>
          <w:rFonts w:hint="eastAsia" w:ascii="宋体" w:hAnsi="宋体" w:cs="宋体"/>
          <w:sz w:val="21"/>
          <w:szCs w:val="21"/>
        </w:rPr>
        <w:t>2、产品规格</w:t>
      </w:r>
    </w:p>
    <w:p>
      <w:pPr>
        <w:keepNext/>
        <w:spacing w:line="360" w:lineRule="auto"/>
        <w:rPr>
          <w:rFonts w:ascii="宋体" w:hAnsi="宋体" w:cs="宋体"/>
          <w:sz w:val="21"/>
          <w:szCs w:val="21"/>
        </w:rPr>
      </w:pPr>
      <w:r>
        <w:rPr>
          <w:rFonts w:hint="eastAsia" w:ascii="宋体" w:hAnsi="宋体" w:cs="宋体"/>
          <w:sz w:val="21"/>
          <w:szCs w:val="21"/>
        </w:rPr>
        <w:t xml:space="preserve">    篮球架伸臂长2.25m，篮圈上沿离地面3.05m。</w:t>
      </w:r>
    </w:p>
    <w:p>
      <w:pPr>
        <w:spacing w:line="360" w:lineRule="auto"/>
        <w:ind w:firstLine="420" w:firstLineChars="200"/>
        <w:rPr>
          <w:rFonts w:ascii="宋体" w:hAnsi="宋体" w:cs="宋体"/>
          <w:sz w:val="21"/>
          <w:szCs w:val="21"/>
        </w:rPr>
      </w:pPr>
      <w:r>
        <w:rPr>
          <w:rFonts w:hint="eastAsia" w:ascii="宋体" w:hAnsi="宋体" w:cs="宋体"/>
          <w:sz w:val="21"/>
          <w:szCs w:val="21"/>
        </w:rPr>
        <w:t>3、产品用材</w:t>
      </w:r>
    </w:p>
    <w:p>
      <w:pPr>
        <w:spacing w:line="360" w:lineRule="auto"/>
        <w:rPr>
          <w:rFonts w:ascii="宋体" w:hAnsi="宋体" w:cs="宋体"/>
          <w:sz w:val="21"/>
          <w:szCs w:val="21"/>
        </w:rPr>
      </w:pPr>
      <w:r>
        <w:rPr>
          <w:rFonts w:hint="eastAsia" w:ascii="宋体" w:hAnsi="宋体" w:cs="宋体"/>
          <w:sz w:val="21"/>
          <w:szCs w:val="21"/>
        </w:rPr>
        <w:t xml:space="preserve">    球架立柱采用定制□180×180×4优质大圆角方管制作，圆角R40mm，既美观又安全性能好；篮架伸臂采用δ3进口优质铁板一次冲压成型后在专用折边机上折边，伸臂上拉杆固定孔均采用冲压成型后焊接内置非标螺母，篮架立柱法兰、伸臂头部组件和伸臂底板均采用一次冲压成型制作，且立柱底部配备防护装饰罩，采用冷扎钢板一次成型，造型美观大方，性能安全可靠，篮架上拉杆采用Φ48×2圆管在弯管机上一次成型，通过优质精密铸钢件接头与铝压铸篮板耳片连接，后拉杆采用口50×40×3优质方管在弯管机上一次而成，避免了电焊及焊渣易引起生锈的隐患，篮球架通过调节上拉杆可调节篮板的平面度和垂直度，通过调节下拉杆，可调节篮圈与地面的平行度。</w:t>
      </w:r>
    </w:p>
    <w:p>
      <w:pPr>
        <w:spacing w:line="360" w:lineRule="auto"/>
        <w:ind w:firstLine="420" w:firstLineChars="200"/>
        <w:rPr>
          <w:rFonts w:ascii="宋体" w:hAnsi="宋体" w:cs="宋体"/>
          <w:sz w:val="21"/>
          <w:szCs w:val="21"/>
        </w:rPr>
      </w:pPr>
      <w:r>
        <w:rPr>
          <w:rFonts w:hint="eastAsia" w:ascii="宋体" w:hAnsi="宋体" w:cs="宋体"/>
          <w:sz w:val="21"/>
          <w:szCs w:val="21"/>
        </w:rPr>
        <w:t>4、篮板</w:t>
      </w:r>
    </w:p>
    <w:p>
      <w:pPr>
        <w:spacing w:line="360" w:lineRule="auto"/>
        <w:ind w:firstLine="570"/>
        <w:rPr>
          <w:rFonts w:ascii="宋体" w:hAnsi="宋体" w:cs="宋体"/>
          <w:sz w:val="21"/>
          <w:szCs w:val="21"/>
        </w:rPr>
      </w:pPr>
      <w:r>
        <w:rPr>
          <w:rFonts w:hint="eastAsia" w:ascii="宋体" w:hAnsi="宋体" w:cs="宋体"/>
          <w:sz w:val="21"/>
          <w:szCs w:val="21"/>
        </w:rPr>
        <w:t>规格：1800×1050（㎜），篮板配用国际通用的高强度安全玻璃篮板，具有安全性好、透明度高、耐候性好、抗老化、耐腐蚀、不易模糊等特点，并在篮板下沿及侧面覆盖有保护条，能保护运动员运动时不受伤害。</w:t>
      </w:r>
    </w:p>
    <w:p>
      <w:pPr>
        <w:spacing w:line="360" w:lineRule="auto"/>
        <w:ind w:firstLine="420" w:firstLineChars="200"/>
        <w:rPr>
          <w:rFonts w:ascii="宋体" w:hAnsi="宋体" w:cs="宋体"/>
          <w:sz w:val="21"/>
          <w:szCs w:val="21"/>
        </w:rPr>
      </w:pPr>
      <w:r>
        <w:rPr>
          <w:rFonts w:hint="eastAsia" w:ascii="宋体" w:hAnsi="宋体" w:cs="宋体"/>
          <w:sz w:val="21"/>
          <w:szCs w:val="21"/>
        </w:rPr>
        <w:t>5、篮圈</w:t>
      </w:r>
    </w:p>
    <w:p>
      <w:pPr>
        <w:spacing w:line="360" w:lineRule="auto"/>
        <w:ind w:firstLine="420"/>
        <w:rPr>
          <w:rFonts w:ascii="宋体" w:hAnsi="宋体" w:cs="宋体"/>
          <w:bCs/>
          <w:sz w:val="21"/>
          <w:szCs w:val="21"/>
        </w:rPr>
      </w:pPr>
      <w:r>
        <w:rPr>
          <w:rFonts w:hint="eastAsia" w:ascii="宋体" w:hAnsi="宋体" w:cs="宋体"/>
          <w:sz w:val="21"/>
          <w:szCs w:val="21"/>
        </w:rPr>
        <w:t>篮圈采用φ17实心圆钢制作，圈下焊有冲压成型的圆弧形网钩，十二段均匀分布留适当间隙，配篮网。篮圈抗弯性能好，</w:t>
      </w:r>
      <w:r>
        <w:rPr>
          <w:rFonts w:hint="eastAsia" w:ascii="宋体" w:hAnsi="宋体" w:cs="宋体"/>
          <w:bCs/>
          <w:sz w:val="21"/>
          <w:szCs w:val="21"/>
        </w:rPr>
        <w:t>水平固定在篮板上，与篮架连接的钢板和篮圈盖板均采用优质钢板一次冲压成型，造型美观。</w:t>
      </w:r>
    </w:p>
    <w:p>
      <w:pPr>
        <w:spacing w:line="360" w:lineRule="auto"/>
        <w:ind w:firstLine="420" w:firstLineChars="200"/>
        <w:rPr>
          <w:rFonts w:ascii="宋体" w:hAnsi="宋体" w:cs="宋体"/>
          <w:sz w:val="21"/>
          <w:szCs w:val="21"/>
        </w:rPr>
      </w:pPr>
      <w:r>
        <w:rPr>
          <w:rFonts w:hint="eastAsia" w:ascii="宋体" w:hAnsi="宋体" w:cs="宋体"/>
          <w:sz w:val="21"/>
          <w:szCs w:val="21"/>
        </w:rPr>
        <w:t>6、产品的结构原理</w:t>
      </w:r>
    </w:p>
    <w:p>
      <w:pPr>
        <w:ind w:firstLine="420" w:firstLineChars="200"/>
        <w:rPr>
          <w:rFonts w:ascii="宋体" w:hAnsi="宋体" w:cs="宋体"/>
          <w:sz w:val="21"/>
          <w:szCs w:val="21"/>
        </w:rPr>
      </w:pPr>
      <w:r>
        <w:rPr>
          <w:rFonts w:hint="eastAsia" w:ascii="宋体" w:hAnsi="宋体" w:cs="宋体"/>
          <w:sz w:val="21"/>
          <w:szCs w:val="21"/>
        </w:rPr>
        <w:t>产品采用专用铁制预埋件，在球架安装之前，预先埋好预埋件，待过了保养期后进行整体安装。</w:t>
      </w:r>
    </w:p>
    <w:p>
      <w:pPr>
        <w:ind w:firstLine="570"/>
        <w:rPr>
          <w:rFonts w:ascii="宋体" w:hAnsi="宋体" w:cs="宋体"/>
          <w:sz w:val="21"/>
          <w:szCs w:val="21"/>
        </w:rPr>
      </w:pPr>
      <w:r>
        <w:rPr>
          <w:rFonts w:hint="eastAsia" w:ascii="宋体" w:hAnsi="宋体" w:cs="宋体"/>
          <w:sz w:val="21"/>
          <w:szCs w:val="21"/>
        </w:rPr>
        <w:t>篮架与预埋件通过法兰连接，法兰采用优质冲件，规格：350×350mm，四周呈大圆角，法兰上设计有5个孔。远离球场的一侧设计为3个孔，增强篮架整体的安全性。</w:t>
      </w:r>
    </w:p>
    <w:p>
      <w:pPr>
        <w:ind w:firstLine="570"/>
        <w:rPr>
          <w:rFonts w:ascii="宋体" w:hAnsi="宋体" w:cs="宋体"/>
          <w:sz w:val="21"/>
          <w:szCs w:val="21"/>
        </w:rPr>
      </w:pPr>
      <w:r>
        <w:rPr>
          <w:rFonts w:hint="eastAsia" w:ascii="宋体" w:hAnsi="宋体" w:cs="宋体"/>
          <w:sz w:val="21"/>
          <w:szCs w:val="21"/>
        </w:rPr>
        <w:t>预埋件采用现场组装方式预埋，可节省运输和仓库贮存空间，预埋件总长不低于550mm，共由5根搓M18螺纹的圆钢和若干块铁板拼装组成，圆钢中间冲扁，可增强预埋强度，预埋件基坑长宽高800*800*1000mm，浇筑C25混凝土。</w:t>
      </w:r>
    </w:p>
    <w:p>
      <w:pPr>
        <w:ind w:firstLine="420" w:firstLineChars="200"/>
        <w:rPr>
          <w:rFonts w:ascii="宋体" w:hAnsi="宋体" w:cs="宋体"/>
          <w:sz w:val="21"/>
          <w:szCs w:val="21"/>
        </w:rPr>
      </w:pPr>
      <w:r>
        <w:rPr>
          <w:rFonts w:hint="eastAsia" w:ascii="宋体" w:hAnsi="宋体" w:cs="宋体"/>
          <w:sz w:val="21"/>
          <w:szCs w:val="21"/>
        </w:rPr>
        <w:t>7、紧固件</w:t>
      </w:r>
    </w:p>
    <w:p>
      <w:pPr>
        <w:ind w:firstLine="420" w:firstLineChars="200"/>
        <w:rPr>
          <w:rFonts w:ascii="宋体" w:hAnsi="宋体" w:cs="宋体"/>
          <w:sz w:val="21"/>
          <w:szCs w:val="21"/>
        </w:rPr>
      </w:pPr>
      <w:r>
        <w:rPr>
          <w:rFonts w:hint="eastAsia" w:ascii="宋体" w:hAnsi="宋体" w:cs="宋体"/>
          <w:sz w:val="21"/>
          <w:szCs w:val="21"/>
        </w:rPr>
        <w:t>篮架所有紧固件均经热镀锌处理，能保证长年不生锈。</w:t>
      </w:r>
    </w:p>
    <w:p>
      <w:pPr>
        <w:ind w:firstLine="420" w:firstLineChars="200"/>
        <w:rPr>
          <w:rFonts w:ascii="宋体" w:hAnsi="宋体" w:cs="宋体"/>
          <w:sz w:val="21"/>
          <w:szCs w:val="21"/>
        </w:rPr>
      </w:pPr>
      <w:r>
        <w:rPr>
          <w:rFonts w:hint="eastAsia" w:ascii="宋体" w:hAnsi="宋体" w:cs="宋体"/>
          <w:sz w:val="21"/>
          <w:szCs w:val="21"/>
        </w:rPr>
        <w:t>8、表面处理</w:t>
      </w:r>
    </w:p>
    <w:p>
      <w:pPr>
        <w:ind w:firstLine="420" w:firstLineChars="200"/>
        <w:rPr>
          <w:rFonts w:ascii="宋体" w:hAnsi="宋体" w:cs="宋体"/>
          <w:sz w:val="21"/>
          <w:szCs w:val="21"/>
        </w:rPr>
      </w:pPr>
      <w:r>
        <w:rPr>
          <w:rFonts w:hint="eastAsia" w:ascii="宋体" w:hAnsi="宋体" w:cs="宋体"/>
          <w:sz w:val="21"/>
          <w:szCs w:val="21"/>
        </w:rPr>
        <w:t>器械表面涂层厚度70—80um，铅笔硬度达3H+，层厚度均匀、质地牢固。喷涂工件的表面应经二个阶段处理，表面通过高压静电作用均匀涂敷处理和烘炉加热涂料固化处理，经抛光——脱脂——水洗——无磷转化——水洗——烘干——静电粉末——固化等过程。产品具有耐酸碱、耐湿热、抗老化、外观美观等优点，能适合潮湿和酸雨环境，且前处理过程以及产品涂料配方均不含有毒元素，避免损害使用者的健康。</w:t>
      </w:r>
    </w:p>
    <w:p>
      <w:pPr>
        <w:ind w:firstLine="570"/>
      </w:pPr>
    </w:p>
    <w:p>
      <w:pPr>
        <w:spacing w:line="360" w:lineRule="auto"/>
      </w:pPr>
      <w:r>
        <w:drawing>
          <wp:anchor distT="0" distB="0" distL="114300" distR="114300" simplePos="0" relativeHeight="251660288" behindDoc="0" locked="0" layoutInCell="1" allowOverlap="1">
            <wp:simplePos x="0" y="0"/>
            <wp:positionH relativeFrom="column">
              <wp:posOffset>930275</wp:posOffset>
            </wp:positionH>
            <wp:positionV relativeFrom="paragraph">
              <wp:posOffset>236855</wp:posOffset>
            </wp:positionV>
            <wp:extent cx="3381375" cy="4724400"/>
            <wp:effectExtent l="0" t="0" r="9525" b="0"/>
            <wp:wrapNone/>
            <wp:docPr id="2" name="图片 2" descr="C:\Users\Administrator\Desktop\微信图片_20211009154721.jpg微信图片_20211009154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微信图片_20211009154721.jpg微信图片_20211009154721"/>
                    <pic:cNvPicPr>
                      <a:picLocks noChangeAspect="1"/>
                    </pic:cNvPicPr>
                  </pic:nvPicPr>
                  <pic:blipFill>
                    <a:blip r:embed="rId6"/>
                    <a:srcRect/>
                    <a:stretch>
                      <a:fillRect/>
                    </a:stretch>
                  </pic:blipFill>
                  <pic:spPr>
                    <a:xfrm>
                      <a:off x="0" y="0"/>
                      <a:ext cx="3381375" cy="4724400"/>
                    </a:xfrm>
                    <a:prstGeom prst="rect">
                      <a:avLst/>
                    </a:prstGeom>
                    <a:noFill/>
                    <a:ln>
                      <a:noFill/>
                    </a:ln>
                  </pic:spPr>
                </pic:pic>
              </a:graphicData>
            </a:graphic>
          </wp:anchor>
        </w:drawing>
      </w:r>
    </w:p>
    <w:p/>
    <w:p/>
    <w:p/>
    <w:p/>
    <w:p/>
    <w:p/>
    <w:p/>
    <w:p/>
    <w:p/>
    <w:p/>
    <w:p/>
    <w:p/>
    <w:p/>
    <w:p/>
    <w:p/>
    <w:p/>
    <w:p/>
    <w:p/>
    <w:p/>
    <w:p/>
    <w:p/>
    <w:p/>
    <w:p/>
    <w:p/>
    <w:p/>
    <w:p>
      <w:pPr>
        <w:spacing w:line="360" w:lineRule="auto"/>
        <w:jc w:val="center"/>
        <w:rPr>
          <w:rFonts w:ascii="宋体" w:hAnsi="宋体" w:cs="宋体"/>
          <w:b/>
          <w:bCs/>
          <w:sz w:val="21"/>
          <w:szCs w:val="21"/>
        </w:rPr>
      </w:pPr>
      <w:r>
        <w:rPr>
          <w:rFonts w:hint="eastAsia"/>
          <w:b/>
          <w:bCs/>
          <w:sz w:val="28"/>
          <w:szCs w:val="28"/>
        </w:rPr>
        <w:t>篮球架参考图片</w:t>
      </w:r>
    </w:p>
    <w:p>
      <w:pPr>
        <w:tabs>
          <w:tab w:val="center" w:pos="6979"/>
          <w:tab w:val="right" w:pos="13958"/>
        </w:tabs>
      </w:pPr>
      <w:r>
        <w:rPr>
          <w:rFonts w:hint="eastAsia"/>
        </w:rPr>
        <w:tab/>
      </w:r>
      <w:r>
        <w:rPr>
          <w:rFonts w:hint="eastAsia"/>
        </w:rPr>
        <w:tab/>
      </w:r>
    </w:p>
    <w:p>
      <w:pPr>
        <w:jc w:val="cente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pPr>
    </w:p>
    <w:p>
      <w:pPr>
        <w:pStyle w:val="2"/>
      </w:pPr>
      <w:r>
        <w:rPr>
          <w:rFonts w:hint="eastAsia"/>
        </w:rPr>
        <w:drawing>
          <wp:anchor distT="0" distB="0" distL="114300" distR="114300" simplePos="0" relativeHeight="251661312" behindDoc="0" locked="0" layoutInCell="1" allowOverlap="1">
            <wp:simplePos x="0" y="0"/>
            <wp:positionH relativeFrom="column">
              <wp:posOffset>477520</wp:posOffset>
            </wp:positionH>
            <wp:positionV relativeFrom="paragraph">
              <wp:posOffset>615950</wp:posOffset>
            </wp:positionV>
            <wp:extent cx="4267200" cy="5183505"/>
            <wp:effectExtent l="0" t="0" r="0" b="17145"/>
            <wp:wrapNone/>
            <wp:docPr id="1" name="图片 1"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图片1.png图片1"/>
                    <pic:cNvPicPr>
                      <a:picLocks noChangeAspect="1"/>
                    </pic:cNvPicPr>
                  </pic:nvPicPr>
                  <pic:blipFill>
                    <a:blip r:embed="rId7"/>
                    <a:srcRect/>
                    <a:stretch>
                      <a:fillRect/>
                    </a:stretch>
                  </pic:blipFill>
                  <pic:spPr>
                    <a:xfrm rot="10800000" flipH="1" flipV="1">
                      <a:off x="0" y="0"/>
                      <a:ext cx="4267200" cy="5183505"/>
                    </a:xfrm>
                    <a:prstGeom prst="rect">
                      <a:avLst/>
                    </a:prstGeom>
                  </pic:spPr>
                </pic:pic>
              </a:graphicData>
            </a:graphic>
          </wp:anchor>
        </w:drawing>
      </w:r>
    </w:p>
    <w:p/>
    <w:p/>
    <w:p/>
    <w:p/>
    <w:p/>
    <w:p/>
    <w:p/>
    <w:p/>
    <w:p/>
    <w:p/>
    <w:p/>
    <w:p/>
    <w:p/>
    <w:p/>
    <w:p/>
    <w:p/>
    <w:p/>
    <w:p/>
    <w:p/>
    <w:p/>
    <w:p/>
    <w:p/>
    <w:p/>
    <w:p/>
    <w:p/>
    <w:p/>
    <w:p/>
    <w:p/>
    <w:p/>
    <w:p/>
    <w:p/>
    <w:p/>
    <w:p>
      <w:pPr>
        <w:tabs>
          <w:tab w:val="left" w:pos="3501"/>
        </w:tabs>
      </w:pPr>
      <w:r>
        <w:rPr>
          <w:rFonts w:hint="eastAsia"/>
        </w:rPr>
        <w:tab/>
      </w:r>
      <w:r>
        <w:rPr>
          <w:rFonts w:hint="eastAsia"/>
          <w:b/>
          <w:bCs/>
          <w:sz w:val="28"/>
          <w:szCs w:val="28"/>
        </w:rPr>
        <w:t>篮球场参考示意图</w:t>
      </w:r>
    </w:p>
    <w:sectPr>
      <w:headerReference r:id="rId3" w:type="default"/>
      <w:footerReference r:id="rId4" w:type="default"/>
      <w:pgSz w:w="11906" w:h="16838"/>
      <w:pgMar w:top="1440" w:right="1080" w:bottom="1440" w:left="108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both"/>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p>
    <w:pPr>
      <w:jc w:val="center"/>
      <w:rPr>
        <w:rFonts w:ascii="Arial" w:hAnsi="Arial"/>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8E10A"/>
    <w:multiLevelType w:val="singleLevel"/>
    <w:tmpl w:val="90E8E10A"/>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3BD"/>
    <w:rsid w:val="004253BD"/>
    <w:rsid w:val="0068509E"/>
    <w:rsid w:val="008745C1"/>
    <w:rsid w:val="023055B8"/>
    <w:rsid w:val="07A536F3"/>
    <w:rsid w:val="08141B88"/>
    <w:rsid w:val="096A2E85"/>
    <w:rsid w:val="0B2A7F19"/>
    <w:rsid w:val="0E09021F"/>
    <w:rsid w:val="0E816A11"/>
    <w:rsid w:val="0F3068A2"/>
    <w:rsid w:val="148026AA"/>
    <w:rsid w:val="16311B66"/>
    <w:rsid w:val="18CE7C8E"/>
    <w:rsid w:val="1ACD015A"/>
    <w:rsid w:val="1BF470D5"/>
    <w:rsid w:val="216F31F5"/>
    <w:rsid w:val="232612F3"/>
    <w:rsid w:val="28E332E0"/>
    <w:rsid w:val="2B012EED"/>
    <w:rsid w:val="2DE83AD2"/>
    <w:rsid w:val="2EA11BFD"/>
    <w:rsid w:val="2EE93715"/>
    <w:rsid w:val="304A38E4"/>
    <w:rsid w:val="335778DF"/>
    <w:rsid w:val="352D2197"/>
    <w:rsid w:val="368C26BE"/>
    <w:rsid w:val="371B37A9"/>
    <w:rsid w:val="3F546708"/>
    <w:rsid w:val="3F616A63"/>
    <w:rsid w:val="3F8D3D23"/>
    <w:rsid w:val="44715794"/>
    <w:rsid w:val="44D93A54"/>
    <w:rsid w:val="45C77A13"/>
    <w:rsid w:val="47132632"/>
    <w:rsid w:val="4839476C"/>
    <w:rsid w:val="491261B6"/>
    <w:rsid w:val="4BC3396E"/>
    <w:rsid w:val="50D0127D"/>
    <w:rsid w:val="5426361B"/>
    <w:rsid w:val="599800D6"/>
    <w:rsid w:val="61700631"/>
    <w:rsid w:val="62E65A71"/>
    <w:rsid w:val="64863018"/>
    <w:rsid w:val="66684282"/>
    <w:rsid w:val="66D744E1"/>
    <w:rsid w:val="682C2920"/>
    <w:rsid w:val="693D5F01"/>
    <w:rsid w:val="70AE25C2"/>
    <w:rsid w:val="71587C73"/>
    <w:rsid w:val="72515401"/>
    <w:rsid w:val="76376FD1"/>
    <w:rsid w:val="7770594D"/>
    <w:rsid w:val="7ABE7C40"/>
    <w:rsid w:val="7B5B0D14"/>
    <w:rsid w:val="7F5B42A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paragraph" w:styleId="3">
    <w:name w:val="heading 2"/>
    <w:basedOn w:val="1"/>
    <w:next w:val="1"/>
    <w:unhideWhenUsed/>
    <w:qFormat/>
    <w:uiPriority w:val="0"/>
    <w:pPr>
      <w:keepNext/>
      <w:keepLines/>
      <w:spacing w:before="20" w:after="20"/>
      <w:outlineLvl w:val="1"/>
    </w:pPr>
    <w:rPr>
      <w:rFonts w:ascii="Arial" w:hAnsi="Arial"/>
      <w:b/>
    </w:rPr>
  </w:style>
  <w:style w:type="paragraph" w:styleId="4">
    <w:name w:val="heading 3"/>
    <w:basedOn w:val="1"/>
    <w:next w:val="1"/>
    <w:link w:val="28"/>
    <w:unhideWhenUsed/>
    <w:qFormat/>
    <w:uiPriority w:val="0"/>
    <w:pPr>
      <w:keepNext/>
      <w:keepLines/>
      <w:spacing w:before="20" w:after="20"/>
      <w:outlineLvl w:val="2"/>
    </w:pPr>
    <w:rPr>
      <w:rFonts w:eastAsia="微软雅黑"/>
      <w:sz w:val="18"/>
    </w:rPr>
  </w:style>
  <w:style w:type="paragraph" w:styleId="5">
    <w:name w:val="heading 4"/>
    <w:basedOn w:val="1"/>
    <w:next w:val="1"/>
    <w:qFormat/>
    <w:uiPriority w:val="9"/>
    <w:pPr>
      <w:keepNext/>
      <w:keepLines/>
      <w:spacing w:line="360" w:lineRule="auto"/>
      <w:jc w:val="center"/>
      <w:outlineLvl w:val="3"/>
    </w:pPr>
    <w:rPr>
      <w:rFonts w:ascii="Arial" w:hAnsi="Arial" w:eastAsia="仿宋"/>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6">
    <w:name w:val="Balloon Text"/>
    <w:basedOn w:val="1"/>
    <w:link w:val="15"/>
    <w:qFormat/>
    <w:uiPriority w:val="99"/>
    <w:rPr>
      <w:sz w:val="18"/>
      <w:szCs w:val="18"/>
    </w:rPr>
  </w:style>
  <w:style w:type="paragraph" w:styleId="7">
    <w:name w:val="footer"/>
    <w:basedOn w:val="1"/>
    <w:link w:val="16"/>
    <w:qFormat/>
    <w:uiPriority w:val="99"/>
    <w:pPr>
      <w:tabs>
        <w:tab w:val="center" w:pos="4153"/>
        <w:tab w:val="right" w:pos="8306"/>
      </w:tabs>
      <w:snapToGrid w:val="0"/>
    </w:pPr>
    <w:rPr>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pPr>
  </w:style>
  <w:style w:type="character" w:styleId="12">
    <w:name w:val="Strong"/>
    <w:basedOn w:val="11"/>
    <w:qFormat/>
    <w:uiPriority w:val="99"/>
    <w:rPr>
      <w:rFonts w:cs="Times New Roman"/>
      <w:b/>
    </w:rPr>
  </w:style>
  <w:style w:type="character" w:styleId="13">
    <w:name w:val="page number"/>
    <w:basedOn w:val="11"/>
    <w:qFormat/>
    <w:uiPriority w:val="0"/>
  </w:style>
  <w:style w:type="character" w:styleId="14">
    <w:name w:val="Hyperlink"/>
    <w:basedOn w:val="11"/>
    <w:qFormat/>
    <w:uiPriority w:val="99"/>
    <w:rPr>
      <w:rFonts w:cs="Times New Roman"/>
      <w:u w:val="single"/>
    </w:rPr>
  </w:style>
  <w:style w:type="character" w:customStyle="1" w:styleId="15">
    <w:name w:val="批注框文本 Char2"/>
    <w:basedOn w:val="11"/>
    <w:link w:val="6"/>
    <w:qFormat/>
    <w:uiPriority w:val="99"/>
    <w:rPr>
      <w:rFonts w:cs="Times New Roman"/>
      <w:sz w:val="18"/>
      <w:szCs w:val="18"/>
    </w:rPr>
  </w:style>
  <w:style w:type="character" w:customStyle="1" w:styleId="16">
    <w:name w:val="页脚 Char"/>
    <w:basedOn w:val="11"/>
    <w:link w:val="7"/>
    <w:qFormat/>
    <w:uiPriority w:val="99"/>
    <w:rPr>
      <w:sz w:val="18"/>
    </w:rPr>
  </w:style>
  <w:style w:type="character" w:customStyle="1" w:styleId="17">
    <w:name w:val="页眉 Char"/>
    <w:basedOn w:val="11"/>
    <w:link w:val="8"/>
    <w:qFormat/>
    <w:uiPriority w:val="99"/>
    <w:rPr>
      <w:sz w:val="18"/>
    </w:rPr>
  </w:style>
  <w:style w:type="paragraph" w:customStyle="1" w:styleId="18">
    <w:name w:val="批注框文本1"/>
    <w:basedOn w:val="1"/>
    <w:link w:val="27"/>
    <w:qFormat/>
    <w:uiPriority w:val="99"/>
    <w:rPr>
      <w:sz w:val="18"/>
      <w:szCs w:val="18"/>
    </w:rPr>
  </w:style>
  <w:style w:type="character" w:customStyle="1" w:styleId="19">
    <w:name w:val="批注框文本 Char"/>
    <w:link w:val="20"/>
    <w:qFormat/>
    <w:uiPriority w:val="99"/>
    <w:rPr>
      <w:sz w:val="18"/>
    </w:rPr>
  </w:style>
  <w:style w:type="paragraph" w:customStyle="1" w:styleId="20">
    <w:name w:val="批注框文本11"/>
    <w:basedOn w:val="1"/>
    <w:link w:val="19"/>
    <w:qFormat/>
    <w:uiPriority w:val="99"/>
    <w:rPr>
      <w:sz w:val="18"/>
      <w:szCs w:val="18"/>
    </w:rPr>
  </w:style>
  <w:style w:type="paragraph" w:customStyle="1" w:styleId="21">
    <w:name w:val="列出段落1"/>
    <w:basedOn w:val="1"/>
    <w:qFormat/>
    <w:uiPriority w:val="99"/>
    <w:pPr>
      <w:ind w:firstLine="420" w:firstLineChars="200"/>
    </w:pPr>
  </w:style>
  <w:style w:type="paragraph" w:customStyle="1" w:styleId="22">
    <w:name w:val="&quot;footer&quot;"/>
    <w:qFormat/>
    <w:uiPriority w:val="99"/>
    <w:pPr>
      <w:tabs>
        <w:tab w:val="center" w:pos="4140"/>
        <w:tab w:val="right" w:pos="8300"/>
      </w:tabs>
      <w:snapToGrid w:val="0"/>
    </w:pPr>
    <w:rPr>
      <w:rFonts w:ascii="Times New Roman" w:hAnsi="Times New Roman" w:eastAsia="宋体" w:cs="Times New Roman"/>
      <w:sz w:val="18"/>
      <w:szCs w:val="18"/>
      <w:lang w:val="en-US" w:eastAsia="zh-CN" w:bidi="ar-SA"/>
    </w:rPr>
  </w:style>
  <w:style w:type="paragraph" w:customStyle="1" w:styleId="23">
    <w:name w:val="&quot;Balloon Text&quot;"/>
    <w:qFormat/>
    <w:uiPriority w:val="99"/>
    <w:rPr>
      <w:rFonts w:ascii="Times New Roman" w:hAnsi="Times New Roman" w:eastAsia="宋体" w:cs="Times New Roman"/>
      <w:sz w:val="18"/>
      <w:szCs w:val="18"/>
      <w:lang w:val="en-US" w:eastAsia="zh-CN" w:bidi="ar-SA"/>
    </w:rPr>
  </w:style>
  <w:style w:type="paragraph" w:customStyle="1" w:styleId="24">
    <w:name w:val="&quot;列出段落1&quot;"/>
    <w:qFormat/>
    <w:uiPriority w:val="99"/>
    <w:pPr>
      <w:ind w:firstLine="420" w:firstLineChars="200"/>
    </w:pPr>
    <w:rPr>
      <w:rFonts w:ascii="Times New Roman" w:hAnsi="Times New Roman" w:eastAsia="宋体" w:cs="Times New Roman"/>
      <w:sz w:val="24"/>
      <w:szCs w:val="24"/>
      <w:lang w:val="en-US" w:eastAsia="zh-CN" w:bidi="ar-SA"/>
    </w:rPr>
  </w:style>
  <w:style w:type="paragraph" w:customStyle="1" w:styleId="25">
    <w:name w:val="&quot;header&quot;"/>
    <w:qFormat/>
    <w:uiPriority w:val="99"/>
    <w:pPr>
      <w:pBdr>
        <w:bottom w:val="single" w:color="auto" w:sz="6" w:space="1"/>
      </w:pBdr>
      <w:tabs>
        <w:tab w:val="center" w:pos="4140"/>
        <w:tab w:val="right" w:pos="8300"/>
      </w:tabs>
      <w:snapToGrid w:val="0"/>
      <w:jc w:val="center"/>
    </w:pPr>
    <w:rPr>
      <w:rFonts w:ascii="Times New Roman" w:hAnsi="Times New Roman" w:eastAsia="宋体" w:cs="Times New Roman"/>
      <w:sz w:val="18"/>
      <w:szCs w:val="18"/>
      <w:lang w:val="en-US" w:eastAsia="zh-CN" w:bidi="ar-SA"/>
    </w:rPr>
  </w:style>
  <w:style w:type="character" w:customStyle="1" w:styleId="26">
    <w:name w:val="页码1"/>
    <w:basedOn w:val="11"/>
    <w:qFormat/>
    <w:uiPriority w:val="99"/>
    <w:rPr>
      <w:rFonts w:cs="Times New Roman"/>
    </w:rPr>
  </w:style>
  <w:style w:type="character" w:customStyle="1" w:styleId="27">
    <w:name w:val="批注框文本 Char1"/>
    <w:link w:val="18"/>
    <w:qFormat/>
    <w:uiPriority w:val="99"/>
    <w:rPr>
      <w:sz w:val="18"/>
    </w:rPr>
  </w:style>
  <w:style w:type="character" w:customStyle="1" w:styleId="28">
    <w:name w:val="标题 3 Char"/>
    <w:link w:val="4"/>
    <w:qFormat/>
    <w:uiPriority w:val="0"/>
    <w:rPr>
      <w:rFonts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Toshiba</Company>
  <Pages>1</Pages>
  <Words>504</Words>
  <Characters>2878</Characters>
  <Lines>23</Lines>
  <Paragraphs>6</Paragraphs>
  <TotalTime>1</TotalTime>
  <ScaleCrop>false</ScaleCrop>
  <LinksUpToDate>false</LinksUpToDate>
  <CharactersWithSpaces>3376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2018-10-22T16:32:00Z</dcterms:created>
  <dc:creator>toshiba</dc:creator>
  <cp:lastModifiedBy>Administrator</cp:lastModifiedBy>
  <cp:lastPrinted>2021-10-11T07:29:00Z</cp:lastPrinted>
  <dcterms:modified xsi:type="dcterms:W3CDTF">2021-10-12T01:30:34Z</dcterms:modified>
  <dc:title>CHM-TL00H</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B5B7CED916A448A78A9D6FA45985C518</vt:lpwstr>
  </property>
</Properties>
</file>