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《</w:t>
      </w:r>
      <w:r>
        <w:rPr>
          <w:rFonts w:hint="eastAsia" w:ascii="Times New Roman" w:hAnsi="Times New Roman" w:cs="Times New Roman"/>
          <w:b/>
          <w:sz w:val="28"/>
          <w:szCs w:val="28"/>
        </w:rPr>
        <w:t>5G智能仿真教学平台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建设</w:t>
      </w: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》</w:t>
      </w:r>
      <w:r>
        <w:rPr>
          <w:rFonts w:hint="eastAsia" w:ascii="Times New Roman" w:hAnsi="Times New Roman" w:cs="Times New Roman"/>
          <w:b/>
          <w:sz w:val="28"/>
          <w:szCs w:val="28"/>
        </w:rPr>
        <w:t>项目</w:t>
      </w:r>
      <w:r>
        <w:rPr>
          <w:rFonts w:hint="eastAsia" w:ascii="Times New Roman" w:hAnsi="Times New Roman" w:cs="Times New Roman"/>
          <w:b/>
          <w:sz w:val="28"/>
          <w:szCs w:val="28"/>
        </w:rPr>
        <w:t>购置清单及技术参数要求</w:t>
      </w:r>
    </w:p>
    <w:bookmarkEnd w:id="0"/>
    <w:tbl>
      <w:tblPr>
        <w:tblStyle w:val="7"/>
        <w:tblW w:w="8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655"/>
        <w:gridCol w:w="5678"/>
        <w:gridCol w:w="993"/>
      </w:tblGrid>
      <w:tr>
        <w:trPr>
          <w:jc w:val="center"/>
        </w:trPr>
        <w:tc>
          <w:tcPr>
            <w:tcW w:w="895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商品名称</w:t>
            </w:r>
          </w:p>
        </w:tc>
        <w:tc>
          <w:tcPr>
            <w:tcW w:w="5678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型号规格及参数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数量</w:t>
            </w:r>
          </w:p>
        </w:tc>
      </w:tr>
      <w:tr>
        <w:trPr>
          <w:jc w:val="center"/>
        </w:trPr>
        <w:tc>
          <w:tcPr>
            <w:tcW w:w="895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5G智能教学基站设备</w:t>
            </w:r>
          </w:p>
        </w:tc>
        <w:tc>
          <w:tcPr>
            <w:tcW w:w="567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（1）实现与5G实践仿真教学平台进行信息交互，完成硬件和软件结合教学。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（2）包含主机箱一套、电源单元一套、交换控制和传输单元一套、基带处理单元一套、人机交互单元一套、空面板一套。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（3）支持与5G实践仿真教学平台之间的接口及接口协议处理功能，可以实现与5G实践仿真教学平台进行信息交互。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（4）支持与本地维护终端或者交换机之间的以太网线缆连接实现；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（5）实现主控板卡的告警信息展示；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（6）实现支持光模块接口；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（7）实现支持HDMI接口；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（8）实现IR口的告警信息展示；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（9）支持基带处理单元运行状态指示灯显示；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（10）支持ATN接口功能；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（11）实现移动通信模组功能；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（12）支持AC 220V ，完成所有板卡的电源提供。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（13）具有显示屏，支持显示与仿真平台的交互信息；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（14）支持触摸屏输入功能。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（15）技术参数：</w:t>
            </w:r>
          </w:p>
          <w:p>
            <w:pPr>
              <w:adjustRightInd w:val="0"/>
              <w:snapToGrid w:val="0"/>
              <w:ind w:firstLine="540" w:firstLineChars="30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功耗：≤15W</w:t>
            </w:r>
          </w:p>
          <w:p>
            <w:pPr>
              <w:adjustRightInd w:val="0"/>
              <w:snapToGrid w:val="0"/>
              <w:ind w:firstLine="540" w:firstLineChars="30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温度环境(长期)：-5℃ ~ +40℃</w:t>
            </w:r>
          </w:p>
          <w:p>
            <w:pPr>
              <w:adjustRightInd w:val="0"/>
              <w:snapToGrid w:val="0"/>
              <w:ind w:firstLine="540" w:firstLineChars="300"/>
              <w:jc w:val="left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湿度环境(长期)  ：15% ~ 85%</w:t>
            </w:r>
          </w:p>
          <w:p>
            <w:pPr>
              <w:adjustRightInd w:val="0"/>
              <w:snapToGrid w:val="0"/>
              <w:ind w:firstLine="540" w:firstLineChars="30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输入电源：AC：220V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sz w:val="18"/>
                <w:szCs w:val="18"/>
              </w:rPr>
              <w:t>套</w:t>
            </w:r>
          </w:p>
        </w:tc>
      </w:tr>
      <w:tr>
        <w:trPr>
          <w:jc w:val="center"/>
        </w:trPr>
        <w:tc>
          <w:tcPr>
            <w:tcW w:w="895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5G实践仿真教学平台</w:t>
            </w:r>
          </w:p>
        </w:tc>
        <w:tc>
          <w:tcPr>
            <w:tcW w:w="567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  <w:t>（1）</w:t>
            </w: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平台需采用B/S架构，支持至少三种常规浏览器访问。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（2）采用分布式架构处理；需支持CDN服务分布式资源分发与访问；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（3）支持模拟勘站规划，包括天线挂高的设置、天线下倾角的调整、大规模天线AAU的选型、光纤型号的选择（需支持≥4种光纤型号的选择）、电源类型的选择（交流电或者直流电）等。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（4）支持5G核心网规划，包括签约号码设置、传输参数规划、网元功能选择（包括但不限于AMF、SMF、UDM、UPF、PCF、NRF）、光模块型号的选择（需支持≥6种光模块型号的选择）等。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5）支持对5G网络架构中不同网元或网元内部模块之间的协议栈（协议层包括但不限于PHY、GTP-U、UDP、PDCP、SDAP、F1-AP、IP、SCTP、MAC、RLC、NAS、RRC）进行配置，并对配置的协议结构进行校验，支持对错误配置进行提示的功能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6）支持5G基站实际运维场景，包括硬件设备连接（包括与核心网、64通道的射频单元、GPS等硬件连接）、5G基站硬件接口功能选择、辅材选型（包括光纤型号、光模块型号、电源接口等）、小区网络规划、版本升级、邻区参数配置等功能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（7）支持GPS安装工程认知功能，包括但不限于连接器、GPS馈线、GPS避雷针、GPS下跳线、接地线等。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（8）支持系统验证功能，可显示配置正确的节点和错误的节点，针对错误的节点生成具有网元信息的详细告警信息；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（9）支持业务验证功能，可对业务运行次数、业务运行时间间隔、服务器地址、终端号码、网络模式、小区ID等进行配置。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（10）支持5G+车联网组网部署与验证，包括对车载单元、路测单元的配置，可对车辆信息进行显示并且对配置结果进行校验。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（11）支持5G通信网络和智能网联汽车通信协议标准接口的配置。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（12）平台支持对5G系统运维工程相关问题的智能答疑功能。</w:t>
            </w:r>
          </w:p>
          <w:p>
            <w:pPr>
              <w:adjustRightInd w:val="0"/>
              <w:snapToGrid w:val="0"/>
              <w:jc w:val="left"/>
              <w:rPr>
                <w:rFonts w:hint="default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（13）平台支持日志提取功能，可对5G基站告警日志进行提取和分析。</w:t>
            </w:r>
          </w:p>
          <w:p>
            <w:pPr>
              <w:adjustRightInd w:val="0"/>
              <w:snapToGrid w:val="0"/>
              <w:jc w:val="left"/>
              <w:rPr>
                <w:rFonts w:hint="default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（14）平台支持5G BBU和5G大规模天线AAU的版本升级功能，根据BBU和AAU告警信息提示，选择解决对应问题的版本进行升级。</w:t>
            </w:r>
          </w:p>
          <w:p>
            <w:pPr>
              <w:adjustRightInd w:val="0"/>
              <w:snapToGrid w:val="0"/>
              <w:jc w:val="left"/>
              <w:rPr>
                <w:rFonts w:hint="default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（15）支持版本升级过程中自启动算法、BBU裁剪、S1链路故障复位等功能的开关控制功能。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（16）支持用户管理、班级管理、成绩查询、实验指导手册管理等教学管理功能。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（17）支持教师对学生学习任务和考试任务的创建并下发。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（18）支持教师对不同班级、不同学生下发不同考试试题。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（19）平台具有实验指导手册管理功能，不同实验需匹配具有对应的教师版和学生版的实验指导手册，并且可按需给学生下发，满足教学管理功能。</w:t>
            </w:r>
          </w:p>
          <w:p>
            <w:pPr>
              <w:adjustRightInd w:val="0"/>
              <w:snapToGrid w:val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（20）平台支持本地化部署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50套</w:t>
            </w: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560D99"/>
    <w:multiLevelType w:val="multilevel"/>
    <w:tmpl w:val="73560D99"/>
    <w:lvl w:ilvl="0" w:tentative="0">
      <w:start w:val="1"/>
      <w:numFmt w:val="decimalZero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chineseCountingThousand"/>
      <w:lvlRestart w:val="0"/>
      <w:pStyle w:val="4"/>
      <w:suff w:val="space"/>
      <w:lvlText w:val="第%2章"/>
      <w:lvlJc w:val="left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7BB51FAC"/>
    <w:multiLevelType w:val="multilevel"/>
    <w:tmpl w:val="7BB51FAC"/>
    <w:lvl w:ilvl="0" w:tentative="0">
      <w:start w:val="1"/>
      <w:numFmt w:val="none"/>
      <w:pStyle w:val="3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lvlRestart w:val="0"/>
      <w:pStyle w:val="11"/>
      <w:suff w:val="space"/>
      <w:lvlText w:val="第%2条"/>
      <w:lvlJc w:val="left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YTIxOWM3ZTkzMWFkMWM1NjllNzAzZjg2ZGI3YTMifQ=="/>
  </w:docVars>
  <w:rsids>
    <w:rsidRoot w:val="00772CAA"/>
    <w:rsid w:val="00110DFA"/>
    <w:rsid w:val="0029379E"/>
    <w:rsid w:val="002B36EB"/>
    <w:rsid w:val="003B02FE"/>
    <w:rsid w:val="00495C0C"/>
    <w:rsid w:val="0058566B"/>
    <w:rsid w:val="005B7C1B"/>
    <w:rsid w:val="007452AE"/>
    <w:rsid w:val="00772CAA"/>
    <w:rsid w:val="007F628E"/>
    <w:rsid w:val="00845BD0"/>
    <w:rsid w:val="00967FD7"/>
    <w:rsid w:val="00B80EB2"/>
    <w:rsid w:val="00B831A8"/>
    <w:rsid w:val="00C82266"/>
    <w:rsid w:val="00CD5BD7"/>
    <w:rsid w:val="00DA4BEB"/>
    <w:rsid w:val="00E138F2"/>
    <w:rsid w:val="00F228C3"/>
    <w:rsid w:val="30476C5D"/>
    <w:rsid w:val="3B457B92"/>
    <w:rsid w:val="41791938"/>
    <w:rsid w:val="7903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next w:val="1"/>
    <w:link w:val="9"/>
    <w:qFormat/>
    <w:uiPriority w:val="9"/>
    <w:pPr>
      <w:keepNext/>
      <w:pageBreakBefore/>
      <w:numPr>
        <w:ilvl w:val="0"/>
        <w:numId w:val="1"/>
      </w:numPr>
      <w:pBdr>
        <w:bottom w:val="single" w:color="0070C0" w:sz="12" w:space="4"/>
      </w:pBdr>
      <w:snapToGrid w:val="0"/>
      <w:spacing w:before="480" w:after="360" w:line="240" w:lineRule="atLeast"/>
      <w:jc w:val="center"/>
      <w:outlineLvl w:val="0"/>
    </w:pPr>
    <w:rPr>
      <w:rFonts w:ascii="微软雅黑" w:hAnsi="微软雅黑" w:eastAsia="微软雅黑" w:cs="宋体"/>
      <w:color w:val="0070C0"/>
      <w:kern w:val="0"/>
      <w:sz w:val="30"/>
      <w:szCs w:val="30"/>
      <w:lang w:val="en-US" w:eastAsia="zh-CN" w:bidi="ar-SA"/>
    </w:rPr>
  </w:style>
  <w:style w:type="paragraph" w:styleId="4">
    <w:name w:val="heading 2"/>
    <w:next w:val="1"/>
    <w:link w:val="10"/>
    <w:unhideWhenUsed/>
    <w:qFormat/>
    <w:uiPriority w:val="9"/>
    <w:pPr>
      <w:numPr>
        <w:ilvl w:val="1"/>
        <w:numId w:val="2"/>
      </w:numPr>
      <w:shd w:val="clear" w:color="auto" w:fill="E2EFD9" w:themeFill="accent6" w:themeFillTint="33"/>
      <w:spacing w:before="240" w:after="120" w:line="384" w:lineRule="atLeast"/>
      <w:jc w:val="both"/>
      <w:outlineLvl w:val="1"/>
    </w:pPr>
    <w:rPr>
      <w:rFonts w:ascii="微软雅黑" w:hAnsi="微软雅黑" w:eastAsia="微软雅黑" w:cs="宋体"/>
      <w:caps/>
      <w:color w:val="0070C0"/>
      <w:kern w:val="0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440" w:lineRule="exact"/>
      <w:jc w:val="center"/>
      <w:outlineLvl w:val="3"/>
    </w:pPr>
    <w:rPr>
      <w:rFonts w:ascii="仿宋_GB2312" w:eastAsia="仿宋_GB2312" w:cs="仿宋_GB2312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3"/>
    <w:uiPriority w:val="9"/>
    <w:rPr>
      <w:rFonts w:ascii="微软雅黑" w:hAnsi="微软雅黑" w:eastAsia="微软雅黑" w:cs="宋体"/>
      <w:color w:val="0070C0"/>
      <w:kern w:val="0"/>
      <w:sz w:val="30"/>
      <w:szCs w:val="30"/>
    </w:rPr>
  </w:style>
  <w:style w:type="character" w:customStyle="1" w:styleId="10">
    <w:name w:val="标题 2 字符"/>
    <w:basedOn w:val="8"/>
    <w:link w:val="4"/>
    <w:uiPriority w:val="9"/>
    <w:rPr>
      <w:rFonts w:ascii="微软雅黑" w:hAnsi="微软雅黑" w:eastAsia="微软雅黑" w:cs="宋体"/>
      <w:caps/>
      <w:color w:val="0070C0"/>
      <w:kern w:val="0"/>
      <w:sz w:val="24"/>
      <w:szCs w:val="24"/>
      <w:shd w:val="clear" w:color="auto" w:fill="E2EFD9" w:themeFill="accent6" w:themeFillTint="33"/>
    </w:rPr>
  </w:style>
  <w:style w:type="paragraph" w:customStyle="1" w:styleId="11">
    <w:name w:val="正文1"/>
    <w:link w:val="12"/>
    <w:qFormat/>
    <w:uiPriority w:val="0"/>
    <w:pPr>
      <w:numPr>
        <w:ilvl w:val="1"/>
        <w:numId w:val="1"/>
      </w:numPr>
      <w:spacing w:after="200" w:line="240" w:lineRule="atLeast"/>
      <w:jc w:val="both"/>
      <w:outlineLvl w:val="2"/>
    </w:pPr>
    <w:rPr>
      <w:rFonts w:asciiTheme="minorEastAsia" w:hAnsiTheme="minorEastAsia" w:eastAsiaTheme="minorEastAsia" w:cstheme="minorBidi"/>
      <w:color w:val="000000"/>
      <w:kern w:val="0"/>
      <w:sz w:val="24"/>
      <w:szCs w:val="22"/>
      <w:lang w:val="en-US" w:eastAsia="zh-CN" w:bidi="ar-SA"/>
    </w:rPr>
  </w:style>
  <w:style w:type="character" w:customStyle="1" w:styleId="12">
    <w:name w:val="正文1 Char"/>
    <w:basedOn w:val="8"/>
    <w:link w:val="11"/>
    <w:uiPriority w:val="0"/>
    <w:rPr>
      <w:rFonts w:asciiTheme="minorEastAsia" w:hAnsiTheme="minorEastAsia"/>
      <w:color w:val="000000"/>
      <w:kern w:val="0"/>
      <w:sz w:val="24"/>
    </w:rPr>
  </w:style>
  <w:style w:type="paragraph" w:customStyle="1" w:styleId="13">
    <w:name w:val="正文2"/>
    <w:link w:val="14"/>
    <w:qFormat/>
    <w:uiPriority w:val="0"/>
    <w:pPr>
      <w:spacing w:after="120" w:line="240" w:lineRule="atLeast"/>
      <w:ind w:firstLine="200" w:firstLineChars="200"/>
      <w:jc w:val="both"/>
    </w:pPr>
    <w:rPr>
      <w:rFonts w:asciiTheme="minorEastAsia" w:hAnsiTheme="minorEastAsia" w:eastAsiaTheme="minorEastAsia" w:cstheme="minorBidi"/>
      <w:color w:val="000000"/>
      <w:kern w:val="0"/>
      <w:sz w:val="24"/>
      <w:szCs w:val="22"/>
      <w:lang w:val="en-US" w:eastAsia="zh-CN" w:bidi="ar-SA"/>
    </w:rPr>
  </w:style>
  <w:style w:type="character" w:customStyle="1" w:styleId="14">
    <w:name w:val="正文2 Char"/>
    <w:basedOn w:val="8"/>
    <w:link w:val="13"/>
    <w:uiPriority w:val="0"/>
    <w:rPr>
      <w:rFonts w:asciiTheme="minorEastAsia" w:hAnsiTheme="minorEastAsia"/>
      <w:color w:val="000000"/>
      <w:kern w:val="0"/>
      <w:sz w:val="24"/>
    </w:rPr>
  </w:style>
  <w:style w:type="paragraph" w:customStyle="1" w:styleId="15">
    <w:name w:val="正文3"/>
    <w:link w:val="16"/>
    <w:qFormat/>
    <w:uiPriority w:val="0"/>
    <w:pPr>
      <w:spacing w:after="200" w:line="276" w:lineRule="auto"/>
      <w:ind w:left="420" w:leftChars="200"/>
    </w:pPr>
    <w:rPr>
      <w:rFonts w:asciiTheme="minorHAnsi" w:hAnsiTheme="minorHAnsi" w:eastAsiaTheme="minorEastAsia" w:cstheme="minorBidi"/>
      <w:kern w:val="0"/>
      <w:sz w:val="21"/>
      <w:szCs w:val="22"/>
      <w:lang w:val="en-US" w:eastAsia="zh-CN" w:bidi="ar-SA"/>
    </w:rPr>
  </w:style>
  <w:style w:type="character" w:customStyle="1" w:styleId="16">
    <w:name w:val="正文3 Char"/>
    <w:basedOn w:val="8"/>
    <w:link w:val="15"/>
    <w:uiPriority w:val="0"/>
    <w:rPr>
      <w:kern w:val="0"/>
    </w:rPr>
  </w:style>
  <w:style w:type="character" w:customStyle="1" w:styleId="17">
    <w:name w:val="页眉 字符"/>
    <w:basedOn w:val="8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878</Characters>
  <Lines>7</Lines>
  <Paragraphs>2</Paragraphs>
  <TotalTime>1</TotalTime>
  <ScaleCrop>false</ScaleCrop>
  <LinksUpToDate>false</LinksUpToDate>
  <CharactersWithSpaces>1029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2022-11-02T15:41:00Z</dcterms:created>
  <dc:creator>裴</dc:creator>
  <cp:lastModifiedBy>阿日</cp:lastModifiedBy>
  <dcterms:modified xsi:type="dcterms:W3CDTF">2022-11-07T02:56:12Z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31B9D8EBEEA0472687C3352FD4221660</vt:lpwstr>
  </property>
</Properties>
</file>