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28"/>
          <w:szCs w:val="28"/>
        </w:rPr>
      </w:pPr>
      <w:r>
        <w:rPr>
          <w:rFonts w:hint="eastAsia" w:ascii="宋体" w:hAnsi="宋体" w:cs="宋体"/>
          <w:b/>
          <w:bCs/>
          <w:sz w:val="28"/>
          <w:szCs w:val="28"/>
        </w:rPr>
        <w:t>询价公告-福建商学院马尾</w:t>
      </w:r>
      <w:r>
        <w:rPr>
          <w:rFonts w:ascii="宋体" w:hAnsi="宋体" w:cs="宋体"/>
          <w:b/>
          <w:bCs/>
          <w:sz w:val="28"/>
          <w:szCs w:val="28"/>
        </w:rPr>
        <w:t>校区</w:t>
      </w:r>
      <w:r>
        <w:rPr>
          <w:rFonts w:hint="eastAsia" w:ascii="宋体" w:hAnsi="宋体" w:cs="宋体"/>
          <w:b/>
          <w:bCs/>
          <w:sz w:val="28"/>
          <w:szCs w:val="28"/>
        </w:rPr>
        <w:t>广播</w:t>
      </w:r>
      <w:r>
        <w:rPr>
          <w:rFonts w:ascii="宋体" w:hAnsi="宋体" w:cs="宋体"/>
          <w:b/>
          <w:bCs/>
          <w:sz w:val="28"/>
          <w:szCs w:val="28"/>
        </w:rPr>
        <w:t>系统设备更新</w:t>
      </w:r>
      <w:r>
        <w:rPr>
          <w:rFonts w:hint="eastAsia" w:ascii="宋体" w:hAnsi="宋体" w:cs="宋体"/>
          <w:b/>
          <w:bCs/>
          <w:sz w:val="28"/>
          <w:szCs w:val="28"/>
        </w:rPr>
        <w:t>采购项目</w:t>
      </w:r>
    </w:p>
    <w:p>
      <w:pPr>
        <w:rPr>
          <w:rFonts w:ascii="宋体" w:hAnsi="宋体" w:cs="宋体"/>
          <w:b/>
          <w:bCs/>
          <w:sz w:val="24"/>
        </w:rPr>
      </w:pPr>
    </w:p>
    <w:p>
      <w:pPr>
        <w:rPr>
          <w:rFonts w:ascii="宋体" w:hAnsi="宋体" w:cs="宋体"/>
          <w:b/>
          <w:bCs/>
          <w:sz w:val="28"/>
          <w:szCs w:val="28"/>
        </w:rPr>
      </w:pPr>
      <w:r>
        <w:rPr>
          <w:rFonts w:hint="eastAsia" w:ascii="宋体" w:hAnsi="宋体" w:cs="宋体"/>
          <w:sz w:val="24"/>
        </w:rPr>
        <w:t>1、项目名称：福建商学院马尾</w:t>
      </w:r>
      <w:r>
        <w:rPr>
          <w:rFonts w:ascii="宋体" w:hAnsi="宋体" w:cs="宋体"/>
          <w:sz w:val="24"/>
        </w:rPr>
        <w:t>校区</w:t>
      </w:r>
      <w:r>
        <w:rPr>
          <w:rFonts w:hint="eastAsia" w:ascii="宋体" w:hAnsi="宋体" w:cs="宋体"/>
          <w:sz w:val="24"/>
        </w:rPr>
        <w:t>广播</w:t>
      </w:r>
      <w:r>
        <w:rPr>
          <w:rFonts w:ascii="宋体" w:hAnsi="宋体" w:cs="宋体"/>
          <w:sz w:val="24"/>
        </w:rPr>
        <w:t>系统设备更新</w:t>
      </w:r>
      <w:r>
        <w:rPr>
          <w:rFonts w:hint="eastAsia" w:ascii="宋体" w:hAnsi="宋体" w:cs="宋体"/>
          <w:sz w:val="24"/>
        </w:rPr>
        <w:t>采购项目</w:t>
      </w:r>
    </w:p>
    <w:p>
      <w:pPr>
        <w:spacing w:line="360" w:lineRule="auto"/>
        <w:rPr>
          <w:rFonts w:ascii="宋体" w:hAnsi="宋体" w:cs="宋体"/>
          <w:sz w:val="24"/>
        </w:rPr>
      </w:pPr>
      <w:r>
        <w:rPr>
          <w:rFonts w:hint="eastAsia" w:ascii="宋体" w:hAnsi="宋体" w:cs="宋体"/>
          <w:sz w:val="24"/>
        </w:rPr>
        <w:t>2、项目概况及采购内容：马尾</w:t>
      </w:r>
      <w:r>
        <w:rPr>
          <w:rFonts w:ascii="宋体" w:hAnsi="宋体" w:cs="宋体"/>
          <w:sz w:val="24"/>
        </w:rPr>
        <w:t>校区广播系统建设有十余年，许多设备陈旧，影响播音效果，</w:t>
      </w:r>
      <w:r>
        <w:rPr>
          <w:rFonts w:hint="eastAsia" w:ascii="宋体" w:hAnsi="宋体" w:cs="宋体"/>
          <w:sz w:val="24"/>
        </w:rPr>
        <w:t>为改善</w:t>
      </w:r>
      <w:r>
        <w:rPr>
          <w:rFonts w:ascii="宋体" w:hAnsi="宋体" w:cs="宋体"/>
          <w:sz w:val="24"/>
        </w:rPr>
        <w:t>广播电台播音质量，</w:t>
      </w:r>
      <w:r>
        <w:rPr>
          <w:rFonts w:hint="eastAsia" w:ascii="宋体" w:hAnsi="宋体" w:cs="宋体"/>
          <w:sz w:val="24"/>
        </w:rPr>
        <w:t>需</w:t>
      </w:r>
      <w:r>
        <w:rPr>
          <w:rFonts w:ascii="宋体" w:hAnsi="宋体" w:cs="宋体"/>
          <w:sz w:val="24"/>
        </w:rPr>
        <w:t>更换部分陈旧</w:t>
      </w:r>
      <w:r>
        <w:rPr>
          <w:rFonts w:hint="eastAsia" w:ascii="宋体" w:hAnsi="宋体" w:cs="宋体"/>
          <w:sz w:val="24"/>
        </w:rPr>
        <w:t>音响</w:t>
      </w:r>
      <w:r>
        <w:rPr>
          <w:rFonts w:ascii="宋体" w:hAnsi="宋体" w:cs="宋体"/>
          <w:sz w:val="24"/>
        </w:rPr>
        <w:t>设备</w:t>
      </w:r>
      <w:r>
        <w:rPr>
          <w:rFonts w:hint="eastAsia" w:ascii="宋体" w:hAnsi="宋体" w:cs="宋体"/>
          <w:sz w:val="24"/>
        </w:rPr>
        <w:t>。</w:t>
      </w:r>
    </w:p>
    <w:p>
      <w:pPr>
        <w:numPr>
          <w:ilvl w:val="0"/>
          <w:numId w:val="1"/>
        </w:numPr>
        <w:spacing w:line="360" w:lineRule="auto"/>
        <w:rPr>
          <w:rFonts w:ascii="宋体" w:hAnsi="宋体" w:cs="宋体"/>
          <w:sz w:val="24"/>
        </w:rPr>
      </w:pPr>
      <w:r>
        <w:rPr>
          <w:rFonts w:hint="eastAsia" w:ascii="宋体" w:hAnsi="宋体" w:cs="宋体"/>
          <w:sz w:val="24"/>
        </w:rPr>
        <w:t>项目预算：</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35"/>
        <w:gridCol w:w="2402"/>
        <w:gridCol w:w="1753"/>
        <w:gridCol w:w="845"/>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066" w:type="dxa"/>
            <w:vAlign w:val="center"/>
          </w:tcPr>
          <w:p>
            <w:pPr>
              <w:spacing w:line="360" w:lineRule="auto"/>
              <w:jc w:val="center"/>
              <w:rPr>
                <w:rFonts w:ascii="宋体" w:hAnsi="宋体" w:cs="宋体"/>
                <w:sz w:val="24"/>
              </w:rPr>
            </w:pPr>
            <w:r>
              <w:rPr>
                <w:rFonts w:hint="eastAsia" w:ascii="宋体" w:hAnsi="宋体" w:cs="宋体"/>
                <w:sz w:val="24"/>
              </w:rPr>
              <w:t>合同包</w:t>
            </w:r>
          </w:p>
        </w:tc>
        <w:tc>
          <w:tcPr>
            <w:tcW w:w="1035" w:type="dxa"/>
            <w:vAlign w:val="center"/>
          </w:tcPr>
          <w:p>
            <w:pPr>
              <w:spacing w:line="360" w:lineRule="auto"/>
              <w:jc w:val="center"/>
              <w:rPr>
                <w:rFonts w:ascii="宋体" w:hAnsi="宋体" w:cs="宋体"/>
                <w:sz w:val="24"/>
              </w:rPr>
            </w:pPr>
            <w:r>
              <w:rPr>
                <w:rFonts w:hint="eastAsia" w:ascii="宋体" w:hAnsi="宋体" w:cs="宋体"/>
                <w:sz w:val="24"/>
              </w:rPr>
              <w:t>品目号</w:t>
            </w:r>
          </w:p>
        </w:tc>
        <w:tc>
          <w:tcPr>
            <w:tcW w:w="2402" w:type="dxa"/>
            <w:vAlign w:val="center"/>
          </w:tcPr>
          <w:p>
            <w:pPr>
              <w:spacing w:line="360" w:lineRule="auto"/>
              <w:jc w:val="center"/>
              <w:rPr>
                <w:rFonts w:ascii="宋体" w:hAnsi="宋体" w:cs="宋体"/>
                <w:sz w:val="24"/>
              </w:rPr>
            </w:pPr>
            <w:r>
              <w:rPr>
                <w:rFonts w:hint="eastAsia" w:ascii="宋体" w:hAnsi="宋体" w:cs="宋体"/>
                <w:sz w:val="24"/>
              </w:rPr>
              <w:t>品目名称</w:t>
            </w:r>
          </w:p>
        </w:tc>
        <w:tc>
          <w:tcPr>
            <w:tcW w:w="1753" w:type="dxa"/>
            <w:vAlign w:val="center"/>
          </w:tcPr>
          <w:p>
            <w:pPr>
              <w:spacing w:line="360" w:lineRule="auto"/>
              <w:jc w:val="center"/>
              <w:rPr>
                <w:rFonts w:ascii="宋体" w:hAnsi="宋体" w:cs="宋体"/>
                <w:sz w:val="24"/>
              </w:rPr>
            </w:pPr>
            <w:r>
              <w:rPr>
                <w:rFonts w:hint="eastAsia" w:ascii="宋体" w:hAnsi="宋体" w:cs="宋体"/>
                <w:sz w:val="24"/>
              </w:rPr>
              <w:t>主要参数要求</w:t>
            </w:r>
          </w:p>
        </w:tc>
        <w:tc>
          <w:tcPr>
            <w:tcW w:w="845" w:type="dxa"/>
            <w:vAlign w:val="center"/>
          </w:tcPr>
          <w:p>
            <w:pPr>
              <w:spacing w:line="360" w:lineRule="auto"/>
              <w:jc w:val="center"/>
              <w:rPr>
                <w:rFonts w:ascii="宋体" w:hAnsi="宋体" w:cs="宋体"/>
                <w:sz w:val="24"/>
              </w:rPr>
            </w:pPr>
            <w:r>
              <w:rPr>
                <w:rFonts w:hint="eastAsia" w:ascii="宋体" w:hAnsi="宋体" w:cs="宋体"/>
                <w:sz w:val="24"/>
              </w:rPr>
              <w:t>数量</w:t>
            </w:r>
          </w:p>
        </w:tc>
        <w:tc>
          <w:tcPr>
            <w:tcW w:w="1421" w:type="dxa"/>
            <w:vAlign w:val="center"/>
          </w:tcPr>
          <w:p>
            <w:pPr>
              <w:spacing w:line="360" w:lineRule="auto"/>
              <w:jc w:val="center"/>
              <w:rPr>
                <w:rFonts w:ascii="宋体" w:hAnsi="宋体" w:cs="宋体"/>
                <w:sz w:val="24"/>
              </w:rPr>
            </w:pPr>
            <w:r>
              <w:rPr>
                <w:rFonts w:hint="eastAsia" w:ascii="宋体" w:hAnsi="宋体" w:cs="宋体"/>
                <w:sz w:val="24"/>
              </w:rPr>
              <w:t>最高限价</w:t>
            </w:r>
          </w:p>
          <w:p>
            <w:pPr>
              <w:spacing w:line="360" w:lineRule="auto"/>
              <w:jc w:val="center"/>
              <w:rPr>
                <w:rFonts w:ascii="宋体" w:hAnsi="宋体" w:cs="宋体"/>
                <w:sz w:val="24"/>
              </w:rPr>
            </w:pPr>
            <w:r>
              <w:rPr>
                <w:rFonts w:hint="eastAsia" w:ascii="宋体" w:hAnsi="宋体" w:cs="宋体"/>
                <w:sz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66" w:type="dxa"/>
          </w:tcPr>
          <w:p>
            <w:pPr>
              <w:spacing w:line="360" w:lineRule="auto"/>
              <w:jc w:val="center"/>
              <w:rPr>
                <w:rFonts w:ascii="宋体" w:hAnsi="宋体" w:cs="宋体"/>
                <w:sz w:val="24"/>
              </w:rPr>
            </w:pPr>
            <w:r>
              <w:rPr>
                <w:rFonts w:hint="eastAsia" w:ascii="宋体" w:hAnsi="宋体" w:cs="宋体"/>
                <w:sz w:val="24"/>
              </w:rPr>
              <w:t>1</w:t>
            </w:r>
          </w:p>
        </w:tc>
        <w:tc>
          <w:tcPr>
            <w:tcW w:w="1035" w:type="dxa"/>
          </w:tcPr>
          <w:p>
            <w:pPr>
              <w:spacing w:line="360" w:lineRule="auto"/>
              <w:jc w:val="center"/>
              <w:rPr>
                <w:rFonts w:ascii="宋体" w:hAnsi="宋体" w:cs="宋体"/>
                <w:sz w:val="24"/>
              </w:rPr>
            </w:pPr>
            <w:r>
              <w:rPr>
                <w:rFonts w:hint="eastAsia" w:ascii="宋体" w:hAnsi="宋体" w:cs="宋体"/>
                <w:sz w:val="24"/>
              </w:rPr>
              <w:t>1</w:t>
            </w:r>
          </w:p>
        </w:tc>
        <w:tc>
          <w:tcPr>
            <w:tcW w:w="2402" w:type="dxa"/>
          </w:tcPr>
          <w:p>
            <w:pPr>
              <w:rPr>
                <w:rFonts w:ascii="宋体" w:hAnsi="宋体" w:cs="宋体"/>
                <w:b/>
                <w:bCs/>
                <w:sz w:val="28"/>
                <w:szCs w:val="28"/>
              </w:rPr>
            </w:pPr>
            <w:r>
              <w:rPr>
                <w:rFonts w:hint="eastAsia" w:ascii="宋体" w:hAnsi="宋体" w:cs="宋体"/>
                <w:sz w:val="24"/>
              </w:rPr>
              <w:t>马尾</w:t>
            </w:r>
            <w:r>
              <w:rPr>
                <w:rFonts w:ascii="宋体" w:hAnsi="宋体" w:cs="宋体"/>
                <w:sz w:val="24"/>
              </w:rPr>
              <w:t>校区</w:t>
            </w:r>
            <w:r>
              <w:rPr>
                <w:rFonts w:hint="eastAsia" w:ascii="宋体" w:hAnsi="宋体" w:cs="宋体"/>
                <w:sz w:val="24"/>
              </w:rPr>
              <w:t>广播</w:t>
            </w:r>
            <w:r>
              <w:rPr>
                <w:rFonts w:ascii="宋体" w:hAnsi="宋体" w:cs="宋体"/>
                <w:sz w:val="24"/>
              </w:rPr>
              <w:t>系统设备更新</w:t>
            </w:r>
            <w:r>
              <w:rPr>
                <w:rFonts w:hint="eastAsia" w:ascii="宋体" w:hAnsi="宋体" w:cs="宋体"/>
                <w:sz w:val="24"/>
              </w:rPr>
              <w:t>采购项目</w:t>
            </w:r>
          </w:p>
        </w:tc>
        <w:tc>
          <w:tcPr>
            <w:tcW w:w="1753" w:type="dxa"/>
          </w:tcPr>
          <w:p>
            <w:pPr>
              <w:spacing w:line="360" w:lineRule="auto"/>
              <w:jc w:val="center"/>
              <w:rPr>
                <w:rFonts w:ascii="宋体" w:hAnsi="宋体" w:cs="宋体"/>
                <w:sz w:val="24"/>
              </w:rPr>
            </w:pPr>
            <w:r>
              <w:rPr>
                <w:rFonts w:hint="eastAsia" w:ascii="宋体" w:hAnsi="宋体" w:cs="宋体"/>
                <w:sz w:val="24"/>
              </w:rPr>
              <w:t>详见附件</w:t>
            </w:r>
          </w:p>
        </w:tc>
        <w:tc>
          <w:tcPr>
            <w:tcW w:w="845" w:type="dxa"/>
          </w:tcPr>
          <w:p>
            <w:pPr>
              <w:spacing w:line="360" w:lineRule="auto"/>
              <w:jc w:val="center"/>
              <w:rPr>
                <w:rFonts w:ascii="宋体" w:hAnsi="宋体" w:cs="宋体"/>
                <w:sz w:val="24"/>
              </w:rPr>
            </w:pPr>
            <w:r>
              <w:rPr>
                <w:rFonts w:hint="eastAsia" w:ascii="宋体" w:hAnsi="宋体" w:cs="宋体"/>
                <w:sz w:val="24"/>
              </w:rPr>
              <w:t>1批</w:t>
            </w:r>
          </w:p>
        </w:tc>
        <w:tc>
          <w:tcPr>
            <w:tcW w:w="1421" w:type="dxa"/>
          </w:tcPr>
          <w:p>
            <w:pPr>
              <w:spacing w:line="360" w:lineRule="auto"/>
              <w:jc w:val="center"/>
              <w:rPr>
                <w:rFonts w:ascii="宋体" w:hAnsi="宋体" w:cs="宋体"/>
                <w:sz w:val="24"/>
              </w:rPr>
            </w:pPr>
            <w:r>
              <w:rPr>
                <w:rFonts w:hint="eastAsia" w:ascii="宋体" w:hAnsi="宋体" w:cs="宋体"/>
                <w:sz w:val="24"/>
              </w:rPr>
              <w:t>2</w:t>
            </w:r>
            <w:r>
              <w:rPr>
                <w:rFonts w:ascii="宋体" w:hAnsi="宋体" w:cs="宋体"/>
                <w:sz w:val="24"/>
              </w:rPr>
              <w:t>9500</w:t>
            </w:r>
            <w:r>
              <w:rPr>
                <w:rFonts w:hint="eastAsia" w:ascii="宋体" w:hAnsi="宋体" w:cs="宋体"/>
                <w:sz w:val="24"/>
              </w:rPr>
              <w:t>元</w:t>
            </w:r>
          </w:p>
        </w:tc>
      </w:tr>
    </w:tbl>
    <w:p>
      <w:pPr>
        <w:spacing w:line="360" w:lineRule="auto"/>
        <w:rPr>
          <w:rFonts w:ascii="宋体" w:hAnsi="宋体" w:cs="宋体"/>
          <w:sz w:val="24"/>
        </w:rPr>
      </w:pPr>
      <w:r>
        <w:rPr>
          <w:rFonts w:hint="eastAsia" w:ascii="宋体" w:hAnsi="宋体" w:cs="宋体"/>
          <w:sz w:val="24"/>
        </w:rPr>
        <w:t>总金额包含税收、产品、装卸、安装备件及材料、专用工具、安装、调试、人工、检验及技术资料、运输和保险等项目相关的一切费用；投标按单价、总价报价，超过最高限价的投标无效。</w:t>
      </w:r>
    </w:p>
    <w:p>
      <w:pPr>
        <w:spacing w:line="360" w:lineRule="auto"/>
        <w:textAlignment w:val="baseline"/>
      </w:pPr>
      <w:r>
        <w:rPr>
          <w:rFonts w:hint="eastAsia" w:ascii="宋体" w:hAnsi="宋体" w:cs="宋体"/>
          <w:b/>
          <w:bCs/>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、报价办法：询价最低价</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sz w:val="24"/>
        </w:rPr>
        <w:t>5、报价单位资格要求：须具备独立承担民事责任能力的中华人民共和国境内注册的法人，且有能力履行本项目所必须的设备和专业技术能力。</w:t>
      </w:r>
      <w:r>
        <w:rPr>
          <w:rFonts w:hint="eastAsia" w:ascii="宋体" w:hAnsi="宋体" w:cs="宋体"/>
          <w:color w:val="000000" w:themeColor="text1"/>
          <w:sz w:val="24"/>
          <w14:textFill>
            <w14:solidFill>
              <w14:schemeClr w14:val="tx1"/>
            </w14:solidFill>
          </w14:textFill>
        </w:rPr>
        <w:t>并提交以下资质证明文件：</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（1）营业执照副本复印件（或三证合一营业执照）；</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（2）税务登记证副本复印件；（如果是三证合一营业执照无需提供）</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 组织机构代码证复印件；（如果是三证合一营业执照无需提供）</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（4）法定代表人及投标人代表的有效身份证明复印件；</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（5）法定代表人授权书原件(报价代表是法定代表人无需)；</w:t>
      </w:r>
    </w:p>
    <w:p>
      <w:pPr>
        <w:spacing w:line="360" w:lineRule="auto"/>
        <w:rPr>
          <w:rFonts w:ascii="宋体" w:hAnsi="宋体" w:cs="宋体"/>
          <w:sz w:val="24"/>
        </w:rPr>
      </w:pPr>
      <w:r>
        <w:rPr>
          <w:rFonts w:hint="eastAsia" w:ascii="宋体" w:hAnsi="宋体" w:cs="宋体"/>
          <w:sz w:val="24"/>
        </w:rPr>
        <w:t>6、技术参数及要求：详见附件1（询价公告网页左下方附件链接下载）。</w:t>
      </w:r>
    </w:p>
    <w:p>
      <w:pPr>
        <w:spacing w:line="360" w:lineRule="auto"/>
        <w:rPr>
          <w:rFonts w:ascii="宋体" w:hAnsi="宋体" w:cs="宋体"/>
          <w:sz w:val="24"/>
        </w:rPr>
      </w:pPr>
      <w:r>
        <w:rPr>
          <w:rFonts w:hint="eastAsia" w:ascii="宋体" w:hAnsi="宋体" w:cs="宋体"/>
          <w:sz w:val="24"/>
        </w:rPr>
        <w:t>7、设计参考标准：</w:t>
      </w:r>
    </w:p>
    <w:p>
      <w:pPr>
        <w:spacing w:line="360" w:lineRule="auto"/>
        <w:rPr>
          <w:rFonts w:ascii="宋体" w:hAnsi="宋体" w:cs="宋体"/>
          <w:sz w:val="24"/>
        </w:rPr>
      </w:pPr>
      <w:r>
        <w:rPr>
          <w:rFonts w:hint="eastAsia" w:ascii="宋体" w:hAnsi="宋体" w:cs="宋体"/>
          <w:sz w:val="24"/>
        </w:rPr>
        <w:t>8、质量要求和技术标准：所提供的货物必须是原厂生产的、全新的、未使用过的（包括零部件），并符合原厂质量检测标准（以说明书为准）和国家质量检测标准，且满足校方招标质量规格和性能要求。</w:t>
      </w:r>
    </w:p>
    <w:p>
      <w:pPr>
        <w:spacing w:line="360" w:lineRule="auto"/>
        <w:rPr>
          <w:rFonts w:ascii="宋体" w:hAnsi="宋体" w:cs="宋体"/>
          <w:sz w:val="24"/>
        </w:rPr>
      </w:pPr>
      <w:r>
        <w:rPr>
          <w:rFonts w:hint="eastAsia" w:ascii="宋体" w:hAnsi="宋体" w:cs="宋体"/>
          <w:sz w:val="24"/>
        </w:rPr>
        <w:t>9、交货时间：签订合同后7日内安装完成，验收合格交付正常使用；</w:t>
      </w:r>
    </w:p>
    <w:p>
      <w:pPr>
        <w:spacing w:line="360" w:lineRule="auto"/>
        <w:rPr>
          <w:rFonts w:ascii="宋体" w:hAnsi="宋体" w:cs="宋体"/>
          <w:sz w:val="24"/>
        </w:rPr>
      </w:pPr>
      <w:r>
        <w:rPr>
          <w:rFonts w:hint="eastAsia" w:ascii="宋体" w:hAnsi="宋体" w:cs="宋体"/>
          <w:sz w:val="24"/>
        </w:rPr>
        <w:t>10、交货地点：福建商学院马尾校区；</w:t>
      </w:r>
    </w:p>
    <w:p>
      <w:pPr>
        <w:spacing w:line="360" w:lineRule="auto"/>
        <w:rPr>
          <w:rFonts w:ascii="宋体" w:hAnsi="宋体" w:cs="宋体"/>
          <w:sz w:val="24"/>
        </w:rPr>
      </w:pPr>
      <w:r>
        <w:rPr>
          <w:rFonts w:hint="eastAsia" w:ascii="宋体" w:hAnsi="宋体" w:cs="宋体"/>
          <w:sz w:val="24"/>
        </w:rPr>
        <w:t>11、售后服务承诺基本要求</w:t>
      </w:r>
    </w:p>
    <w:p>
      <w:pPr>
        <w:spacing w:line="360" w:lineRule="auto"/>
        <w:rPr>
          <w:rFonts w:ascii="宋体" w:hAnsi="宋体" w:cs="宋体"/>
          <w:sz w:val="24"/>
        </w:rPr>
      </w:pPr>
      <w:r>
        <w:rPr>
          <w:rFonts w:hint="eastAsia" w:ascii="宋体" w:hAnsi="宋体" w:cs="宋体"/>
          <w:sz w:val="24"/>
        </w:rPr>
        <w:t>（1）安装和调试</w:t>
      </w:r>
    </w:p>
    <w:p>
      <w:pPr>
        <w:spacing w:line="360" w:lineRule="auto"/>
        <w:ind w:firstLine="480" w:firstLineChars="200"/>
        <w:rPr>
          <w:rFonts w:ascii="宋体" w:hAnsi="宋体" w:cs="宋体"/>
          <w:sz w:val="24"/>
        </w:rPr>
      </w:pPr>
      <w:r>
        <w:rPr>
          <w:rFonts w:hint="eastAsia" w:ascii="宋体" w:hAnsi="宋体" w:cs="宋体"/>
          <w:sz w:val="24"/>
        </w:rPr>
        <w:t>由成交人负责将货物按签订合同的具体数量、具体地点及位置免费运送到最终目的地，并负责安装。货物安装调试并经最终验收合格后，交付采购人使用，成交人须在报价中详细列明所需要各项费用，若未列明，视同所有费用均含在投标报价中。货物安装、调试所需要的工具、仪表及安装材料等均由成交人负责提供。成交人负责组织专业技术人员进行货物安装，保证各项安装工作顺利进行。</w:t>
      </w:r>
    </w:p>
    <w:p>
      <w:pPr>
        <w:spacing w:line="360" w:lineRule="auto"/>
        <w:rPr>
          <w:rFonts w:ascii="宋体" w:hAnsi="宋体" w:cs="宋体"/>
          <w:sz w:val="24"/>
        </w:rPr>
      </w:pPr>
      <w:r>
        <w:rPr>
          <w:rFonts w:hint="eastAsia" w:ascii="宋体" w:hAnsi="宋体" w:cs="宋体"/>
          <w:sz w:val="24"/>
        </w:rPr>
        <w:t>（2）技术培训：成交人免费为采购人技术人员进行有关货物安装、调试、维护、操作等方面的现场培训，并列好计划（对货物的使用操作、货物维护、故障排除、日常保养等方面操作）以备采购人使用，直至能熟练独立操作，对货物产生的常见问题，能够进行判断。</w:t>
      </w:r>
    </w:p>
    <w:p>
      <w:pPr>
        <w:spacing w:line="360" w:lineRule="auto"/>
        <w:rPr>
          <w:rFonts w:ascii="宋体" w:hAnsi="宋体" w:cs="宋体"/>
          <w:sz w:val="24"/>
        </w:rPr>
      </w:pPr>
      <w:r>
        <w:rPr>
          <w:rFonts w:hint="eastAsia" w:ascii="宋体" w:hAnsi="宋体" w:cs="宋体"/>
          <w:sz w:val="24"/>
        </w:rPr>
        <w:t>（3）售后服务承诺</w:t>
      </w:r>
    </w:p>
    <w:p>
      <w:pPr>
        <w:spacing w:line="360" w:lineRule="auto"/>
        <w:ind w:firstLine="480" w:firstLineChars="200"/>
        <w:rPr>
          <w:rFonts w:ascii="宋体" w:hAnsi="宋体" w:cs="宋体"/>
          <w:sz w:val="24"/>
        </w:rPr>
      </w:pPr>
      <w:r>
        <w:rPr>
          <w:rFonts w:hint="eastAsia" w:ascii="宋体" w:hAnsi="宋体" w:cs="宋体"/>
          <w:sz w:val="24"/>
        </w:rPr>
        <w:t>保证所提供的货物是全新的、未使用过的原装品牌设备，在各个方面符合规定的质量、规格和性能要求。保证货物经过正确安装、合理操作和维护保养，在货物寿命期内运转良好。</w:t>
      </w:r>
    </w:p>
    <w:p>
      <w:pPr>
        <w:spacing w:line="360" w:lineRule="auto"/>
        <w:ind w:firstLine="480" w:firstLineChars="200"/>
        <w:rPr>
          <w:rFonts w:ascii="宋体" w:hAnsi="宋体" w:cs="宋体"/>
          <w:sz w:val="24"/>
        </w:rPr>
      </w:pPr>
      <w:r>
        <w:rPr>
          <w:rFonts w:hint="eastAsia" w:ascii="宋体" w:hAnsi="宋体" w:cs="宋体"/>
          <w:sz w:val="24"/>
        </w:rPr>
        <w:t>货物安装调试验收合格交付正常使用之日起</w:t>
      </w:r>
      <w:r>
        <w:rPr>
          <w:rFonts w:ascii="宋体" w:hAnsi="宋体" w:cs="宋体"/>
          <w:sz w:val="24"/>
        </w:rPr>
        <w:t>2</w:t>
      </w:r>
      <w:r>
        <w:rPr>
          <w:rFonts w:hint="eastAsia" w:ascii="宋体" w:hAnsi="宋体" w:cs="宋体"/>
          <w:sz w:val="24"/>
        </w:rPr>
        <w:t>年；供应商提供设备</w:t>
      </w:r>
      <w:r>
        <w:rPr>
          <w:rFonts w:ascii="宋体" w:hAnsi="宋体" w:cs="宋体"/>
          <w:sz w:val="24"/>
        </w:rPr>
        <w:t>2</w:t>
      </w:r>
      <w:r>
        <w:rPr>
          <w:rFonts w:hint="eastAsia" w:ascii="宋体" w:hAnsi="宋体" w:cs="宋体"/>
          <w:sz w:val="24"/>
        </w:rPr>
        <w:t>年免费上门维修，长期维护。</w:t>
      </w:r>
    </w:p>
    <w:p>
      <w:pPr>
        <w:spacing w:line="360" w:lineRule="auto"/>
        <w:ind w:firstLine="480" w:firstLineChars="200"/>
        <w:rPr>
          <w:rFonts w:ascii="宋体" w:hAnsi="宋体" w:cs="宋体"/>
          <w:sz w:val="24"/>
        </w:rPr>
      </w:pPr>
      <w:r>
        <w:rPr>
          <w:rFonts w:hint="eastAsia" w:ascii="宋体" w:hAnsi="宋体" w:cs="宋体"/>
          <w:sz w:val="24"/>
        </w:rPr>
        <w:t>维修服务的响应时间：所有设备提供</w:t>
      </w:r>
      <w:r>
        <w:rPr>
          <w:rFonts w:ascii="宋体" w:hAnsi="宋体" w:cs="宋体"/>
          <w:sz w:val="24"/>
        </w:rPr>
        <w:t>2</w:t>
      </w:r>
      <w:r>
        <w:rPr>
          <w:rFonts w:hint="eastAsia" w:ascii="宋体" w:hAnsi="宋体" w:cs="宋体"/>
          <w:sz w:val="24"/>
        </w:rPr>
        <w:t>年免费上门维修，保修期内如有故障，接到电话后6小时内响应，48小时内维修到位。质保期后，供应商提供设备优惠维修服务。</w:t>
      </w:r>
    </w:p>
    <w:p>
      <w:pPr>
        <w:spacing w:line="360" w:lineRule="auto"/>
        <w:ind w:firstLine="480" w:firstLineChars="200"/>
        <w:rPr>
          <w:rFonts w:ascii="宋体" w:hAnsi="宋体" w:cs="宋体"/>
          <w:sz w:val="24"/>
        </w:rPr>
      </w:pPr>
      <w:r>
        <w:rPr>
          <w:rFonts w:hint="eastAsia" w:ascii="宋体" w:hAnsi="宋体" w:cs="宋体"/>
          <w:sz w:val="24"/>
        </w:rPr>
        <w:t>质量保修期后的服务要求：质量保修期结束后，中标人仍应对货物提供终身维修服务，并应继续提供优惠优质服务。中标人有对货物在必要时进行定期维护和修理，更换配件时只能收取成本费。</w:t>
      </w:r>
    </w:p>
    <w:p>
      <w:pPr>
        <w:pStyle w:val="2"/>
        <w:spacing w:line="360" w:lineRule="auto"/>
        <w:rPr>
          <w:rFonts w:ascii="宋体" w:hAnsi="宋体" w:cs="宋体"/>
          <w:sz w:val="24"/>
        </w:rPr>
      </w:pPr>
      <w:r>
        <w:rPr>
          <w:rFonts w:hint="eastAsia" w:ascii="宋体" w:hAnsi="宋体" w:cs="宋体"/>
          <w:sz w:val="24"/>
        </w:rPr>
        <w:t>12、付款方式：</w:t>
      </w:r>
      <w:r>
        <w:rPr>
          <w:rFonts w:hint="eastAsia" w:ascii="宋体" w:hAnsi="宋体" w:cs="宋体"/>
          <w:color w:val="000000" w:themeColor="text1"/>
          <w:sz w:val="24"/>
          <w14:textFill>
            <w14:solidFill>
              <w14:schemeClr w14:val="tx1"/>
            </w14:solidFill>
          </w14:textFill>
        </w:rPr>
        <w:t>双方签订合同后，中标人按照招标文件要求供货安装、调试完毕，经采购人验收合格后，持有正式发票和用户所开具的验收合格证明，采购人向中标人支付9</w:t>
      </w:r>
      <w:r>
        <w:rPr>
          <w:rFonts w:ascii="宋体" w:hAnsi="宋体" w:cs="宋体"/>
          <w:color w:val="000000" w:themeColor="text1"/>
          <w:sz w:val="24"/>
          <w14:textFill>
            <w14:solidFill>
              <w14:schemeClr w14:val="tx1"/>
            </w14:solidFill>
          </w14:textFill>
        </w:rPr>
        <w:t>0</w:t>
      </w:r>
      <w:r>
        <w:rPr>
          <w:rFonts w:hint="eastAsia" w:ascii="宋体" w:hAnsi="宋体" w:cs="宋体"/>
          <w:color w:val="000000" w:themeColor="text1"/>
          <w:sz w:val="24"/>
          <w14:textFill>
            <w14:solidFill>
              <w14:schemeClr w14:val="tx1"/>
            </w14:solidFill>
          </w14:textFill>
        </w:rPr>
        <w:t>%合同款。剩余</w:t>
      </w:r>
      <w:r>
        <w:rPr>
          <w:rFonts w:ascii="宋体" w:hAnsi="宋体" w:cs="宋体"/>
          <w:color w:val="000000" w:themeColor="text1"/>
          <w:sz w:val="24"/>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%尾款为合同质保金。合同质保期满后，无质量问题，合同质保金无息全额返还。</w:t>
      </w:r>
    </w:p>
    <w:p>
      <w:pPr>
        <w:spacing w:line="360" w:lineRule="auto"/>
        <w:rPr>
          <w:rFonts w:ascii="宋体" w:hAnsi="宋体" w:cs="宋体"/>
          <w:sz w:val="24"/>
        </w:rPr>
      </w:pPr>
      <w:r>
        <w:rPr>
          <w:rFonts w:hint="eastAsia" w:ascii="宋体" w:hAnsi="宋体" w:cs="宋体"/>
          <w:sz w:val="24"/>
        </w:rPr>
        <w:t>13、验收</w:t>
      </w:r>
    </w:p>
    <w:p>
      <w:pPr>
        <w:spacing w:line="360" w:lineRule="auto"/>
        <w:rPr>
          <w:rFonts w:ascii="宋体" w:hAnsi="宋体" w:cs="宋体"/>
          <w:sz w:val="24"/>
        </w:rPr>
      </w:pPr>
      <w:r>
        <w:rPr>
          <w:rFonts w:hint="eastAsia" w:ascii="宋体" w:hAnsi="宋体" w:cs="宋体"/>
          <w:sz w:val="24"/>
        </w:rPr>
        <w:t>（1）提供完整的技术资料，包括：明细表(装箱单)、出厂检验报告和合格证书、使用说明书、操作手册、维修手册及合同中要求的其他文件资料。</w:t>
      </w:r>
    </w:p>
    <w:p>
      <w:pPr>
        <w:pStyle w:val="7"/>
        <w:widowControl/>
        <w:spacing w:beforeAutospacing="0" w:afterAutospacing="0" w:line="460" w:lineRule="exact"/>
        <w:rPr>
          <w:rFonts w:ascii="宋体" w:hAnsi="宋体" w:cs="宋体"/>
          <w:kern w:val="2"/>
        </w:rPr>
      </w:pPr>
      <w:r>
        <w:rPr>
          <w:rFonts w:hint="eastAsia" w:ascii="宋体" w:hAnsi="宋体" w:cs="宋体"/>
          <w:kern w:val="2"/>
        </w:rPr>
        <w:t>（2）验收标准：</w:t>
      </w:r>
      <w:r>
        <w:rPr>
          <w:rFonts w:hint="eastAsia" w:ascii="宋体" w:hAnsi="宋体" w:cs="宋体"/>
        </w:rPr>
        <w:t>货物根据询价文件及合同中所列清单与技术参数要求进行验收，项目交付正常使</w:t>
      </w:r>
      <w:r>
        <w:rPr>
          <w:rFonts w:hint="eastAsia" w:ascii="宋体" w:hAnsi="宋体" w:cs="宋体"/>
          <w:kern w:val="2"/>
        </w:rPr>
        <w:t>设备</w:t>
      </w:r>
      <w:r>
        <w:rPr>
          <w:rFonts w:hint="eastAsia" w:ascii="宋体" w:hAnsi="宋体" w:cs="宋体"/>
        </w:rPr>
        <w:t>直接安装至学校指定地点。</w:t>
      </w:r>
      <w:r>
        <w:rPr>
          <w:rFonts w:hint="eastAsia" w:ascii="宋体" w:hAnsi="宋体" w:cs="宋体"/>
          <w:kern w:val="2"/>
        </w:rPr>
        <w:t>除采购文件另有规定外，若出现有关法律、法规和规章有强制性规定但采购文件未列明的情形，则中标人应按照有关法律、法规和规章强制性规定执行。中标后应向校</w:t>
      </w:r>
      <w:r>
        <w:rPr>
          <w:rFonts w:ascii="宋体" w:hAnsi="宋体" w:cs="宋体"/>
          <w:kern w:val="2"/>
        </w:rPr>
        <w:t>方</w:t>
      </w:r>
      <w:r>
        <w:rPr>
          <w:rFonts w:hint="eastAsia" w:ascii="宋体" w:hAnsi="宋体" w:cs="宋体"/>
          <w:kern w:val="2"/>
        </w:rPr>
        <w:t>提供其产品符合国家强制规定的证明材料（所有国产品牌产品都需提供</w:t>
      </w:r>
      <w:r>
        <w:rPr>
          <w:rFonts w:ascii="宋体" w:hAnsi="宋体" w:cs="宋体"/>
          <w:kern w:val="2"/>
        </w:rPr>
        <w:t>3C认证证明，进口品牌需提供相应的产品质量合格证明）。否则</w:t>
      </w:r>
      <w:r>
        <w:rPr>
          <w:rFonts w:hint="eastAsia" w:ascii="宋体" w:hAnsi="宋体" w:cs="宋体"/>
          <w:kern w:val="2"/>
        </w:rPr>
        <w:t>校方有权视为验收不合格。</w:t>
      </w:r>
      <w:r>
        <w:rPr>
          <w:rFonts w:hint="eastAsia" w:ascii="宋体" w:hAnsi="宋体" w:cs="宋体"/>
        </w:rPr>
        <w:t>由成交单位书面提出验收申请，经使用单位组织验收人员进行验收。验收结果经双方确认后，双方授权代表人必须按规定的验收交接单上的项目对照本合同填好验收结果并签名盖章。</w:t>
      </w:r>
    </w:p>
    <w:p>
      <w:pPr>
        <w:spacing w:line="360" w:lineRule="auto"/>
        <w:ind w:firstLine="482" w:firstLineChars="200"/>
        <w:rPr>
          <w:rFonts w:ascii="宋体" w:hAnsi="宋体" w:cs="宋体"/>
          <w:sz w:val="24"/>
        </w:rPr>
      </w:pPr>
      <w:r>
        <w:rPr>
          <w:rFonts w:hint="eastAsia" w:ascii="宋体" w:hAnsi="宋体" w:cs="宋体"/>
          <w:b/>
          <w:bCs/>
          <w:sz w:val="24"/>
        </w:rPr>
        <w:t>请各报价单位按以上询价公告所有条款要求内容及附件清单内容逐条响应提交承诺函、报价表（按单价、总价报价）、营业执照、资格证书等相关证明材料复印件，并加盖公章。于</w:t>
      </w:r>
      <w:r>
        <w:rPr>
          <w:rFonts w:hint="eastAsia" w:ascii="宋体" w:hAnsi="宋体" w:cs="宋体"/>
          <w:b/>
          <w:bCs/>
          <w:color w:val="FF0000"/>
          <w:sz w:val="24"/>
        </w:rPr>
        <w:t>2021年</w:t>
      </w:r>
      <w:r>
        <w:rPr>
          <w:rFonts w:hint="eastAsia" w:ascii="宋体" w:hAnsi="宋体" w:cs="宋体"/>
          <w:b/>
          <w:bCs/>
          <w:color w:val="FF0000"/>
          <w:sz w:val="24"/>
          <w:lang w:val="en-US" w:eastAsia="zh-CN"/>
        </w:rPr>
        <w:t>12</w:t>
      </w:r>
      <w:r>
        <w:rPr>
          <w:rFonts w:hint="eastAsia" w:ascii="宋体" w:hAnsi="宋体" w:cs="宋体"/>
          <w:b/>
          <w:bCs/>
          <w:color w:val="FF0000"/>
          <w:sz w:val="24"/>
        </w:rPr>
        <w:t>月</w:t>
      </w:r>
      <w:r>
        <w:rPr>
          <w:rFonts w:hint="eastAsia" w:ascii="宋体" w:hAnsi="宋体" w:cs="宋体"/>
          <w:b/>
          <w:bCs/>
          <w:color w:val="FF0000"/>
          <w:sz w:val="24"/>
          <w:lang w:val="en-US" w:eastAsia="zh-CN"/>
        </w:rPr>
        <w:t>3</w:t>
      </w:r>
      <w:bookmarkStart w:id="1" w:name="_GoBack"/>
      <w:bookmarkEnd w:id="1"/>
      <w:r>
        <w:rPr>
          <w:rFonts w:hint="eastAsia" w:ascii="宋体" w:hAnsi="宋体" w:cs="宋体"/>
          <w:b/>
          <w:bCs/>
          <w:color w:val="FF0000"/>
          <w:sz w:val="24"/>
        </w:rPr>
        <w:t>日下午16：00</w:t>
      </w:r>
      <w:r>
        <w:rPr>
          <w:rFonts w:hint="eastAsia" w:ascii="宋体" w:hAnsi="宋体" w:cs="宋体"/>
          <w:b/>
          <w:bCs/>
          <w:sz w:val="24"/>
        </w:rPr>
        <w:t>前准时将项目报价文件及资格证明材料密封后以顺丰快递的方式快递送达至福州市连江县潘渡乡连潘路2号福建商学院连江校区320室</w:t>
      </w:r>
      <w:r>
        <w:rPr>
          <w:rFonts w:hint="eastAsia" w:ascii="宋体" w:hAnsi="宋体" w:cs="宋体"/>
          <w:b/>
          <w:bCs/>
          <w:sz w:val="24"/>
          <w:lang w:eastAsia="zh-CN"/>
        </w:rPr>
        <w:t>资产管理处</w:t>
      </w:r>
      <w:r>
        <w:rPr>
          <w:rFonts w:hint="eastAsia" w:ascii="宋体" w:hAnsi="宋体" w:cs="宋体"/>
          <w:b/>
          <w:bCs/>
          <w:sz w:val="24"/>
        </w:rPr>
        <w:t>，联系人：陈老师，电话：0591-26298150。</w:t>
      </w:r>
    </w:p>
    <w:p>
      <w:pPr>
        <w:pStyle w:val="3"/>
      </w:pPr>
    </w:p>
    <w:p>
      <w:pPr>
        <w:spacing w:line="360" w:lineRule="auto"/>
        <w:rPr>
          <w:rFonts w:ascii="宋体" w:hAnsi="宋体" w:cs="宋体"/>
          <w:sz w:val="24"/>
        </w:rPr>
      </w:pPr>
    </w:p>
    <w:p>
      <w:pPr>
        <w:spacing w:line="360" w:lineRule="auto"/>
        <w:ind w:left="6720" w:hanging="6720" w:hangingChars="2800"/>
        <w:rPr>
          <w:rFonts w:ascii="宋体" w:hAnsi="宋体" w:cs="宋体"/>
          <w:sz w:val="24"/>
        </w:rPr>
      </w:pPr>
      <w:r>
        <w:rPr>
          <w:rFonts w:hint="eastAsia" w:ascii="宋体" w:hAnsi="宋体" w:cs="宋体"/>
          <w:sz w:val="24"/>
        </w:rPr>
        <w:t xml:space="preserve">                                                       </w:t>
      </w:r>
    </w:p>
    <w:p>
      <w:pPr>
        <w:spacing w:line="360" w:lineRule="auto"/>
        <w:ind w:left="6704" w:leftChars="2964" w:hanging="480" w:hangingChars="200"/>
        <w:rPr>
          <w:rFonts w:ascii="宋体" w:hAnsi="宋体" w:cs="宋体"/>
          <w:sz w:val="24"/>
        </w:rPr>
      </w:pPr>
    </w:p>
    <w:p>
      <w:pPr>
        <w:spacing w:line="360" w:lineRule="auto"/>
        <w:ind w:left="6704" w:leftChars="3078" w:hanging="240" w:hangingChars="100"/>
        <w:rPr>
          <w:rFonts w:ascii="宋体" w:hAnsi="宋体" w:cs="宋体"/>
          <w:sz w:val="24"/>
        </w:rPr>
      </w:pPr>
      <w:r>
        <w:rPr>
          <w:rFonts w:hint="eastAsia" w:ascii="宋体" w:hAnsi="宋体" w:cs="宋体"/>
          <w:sz w:val="24"/>
        </w:rPr>
        <w:t xml:space="preserve">  福建商学院</w:t>
      </w:r>
    </w:p>
    <w:p>
      <w:pPr>
        <w:spacing w:line="360" w:lineRule="auto"/>
        <w:ind w:left="6704" w:leftChars="2964" w:hanging="480" w:hangingChars="200"/>
        <w:rPr>
          <w:rFonts w:ascii="宋体" w:hAnsi="宋体" w:cs="宋体"/>
          <w:sz w:val="24"/>
        </w:rPr>
      </w:pPr>
      <w:r>
        <w:rPr>
          <w:rFonts w:hint="eastAsia" w:ascii="宋体" w:hAnsi="宋体" w:cs="宋体"/>
          <w:sz w:val="24"/>
        </w:rPr>
        <w:t>2021年11月</w:t>
      </w:r>
      <w:r>
        <w:rPr>
          <w:rFonts w:hint="eastAsia" w:ascii="宋体" w:hAnsi="宋体" w:cs="宋体"/>
          <w:sz w:val="24"/>
          <w:lang w:val="en-US" w:eastAsia="zh-CN"/>
        </w:rPr>
        <w:t>29</w:t>
      </w:r>
      <w:r>
        <w:rPr>
          <w:rFonts w:hint="eastAsia" w:ascii="宋体" w:hAnsi="宋体" w:cs="宋体"/>
          <w:sz w:val="24"/>
        </w:rPr>
        <w:t>日</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tbl>
      <w:tblPr>
        <w:tblStyle w:val="8"/>
        <w:tblW w:w="11376" w:type="dxa"/>
        <w:tblInd w:w="113" w:type="dxa"/>
        <w:tblLayout w:type="autofit"/>
        <w:tblCellMar>
          <w:top w:w="0" w:type="dxa"/>
          <w:left w:w="108" w:type="dxa"/>
          <w:bottom w:w="0" w:type="dxa"/>
          <w:right w:w="108" w:type="dxa"/>
        </w:tblCellMar>
      </w:tblPr>
      <w:tblGrid>
        <w:gridCol w:w="567"/>
        <w:gridCol w:w="1084"/>
        <w:gridCol w:w="4327"/>
        <w:gridCol w:w="539"/>
        <w:gridCol w:w="498"/>
        <w:gridCol w:w="4361"/>
      </w:tblGrid>
      <w:tr>
        <w:tblPrEx>
          <w:tblCellMar>
            <w:top w:w="0" w:type="dxa"/>
            <w:left w:w="108" w:type="dxa"/>
            <w:bottom w:w="0" w:type="dxa"/>
            <w:right w:w="108" w:type="dxa"/>
          </w:tblCellMar>
        </w:tblPrEx>
        <w:trPr>
          <w:trHeight w:val="624" w:hRule="atLeast"/>
        </w:trPr>
        <w:tc>
          <w:tcPr>
            <w:tcW w:w="11376" w:type="dxa"/>
            <w:gridSpan w:val="6"/>
            <w:vMerge w:val="restart"/>
            <w:tcBorders>
              <w:top w:val="nil"/>
              <w:left w:val="nil"/>
              <w:bottom w:val="nil"/>
              <w:right w:val="nil"/>
            </w:tcBorders>
            <w:shd w:val="clear" w:color="auto" w:fill="auto"/>
            <w:noWrap/>
            <w:vAlign w:val="center"/>
          </w:tcPr>
          <w:p>
            <w:pPr>
              <w:widowControl/>
              <w:jc w:val="center"/>
              <w:rPr>
                <w:rFonts w:ascii="宋体" w:hAnsi="宋体" w:cs="宋体"/>
                <w:b/>
                <w:bCs/>
                <w:kern w:val="0"/>
                <w:sz w:val="32"/>
                <w:szCs w:val="32"/>
              </w:rPr>
            </w:pPr>
            <w:bookmarkStart w:id="0" w:name="RANGE!A1:F12"/>
            <w:r>
              <w:rPr>
                <w:rFonts w:hint="eastAsia" w:ascii="宋体" w:hAnsi="宋体" w:cs="宋体"/>
                <w:b/>
                <w:bCs/>
                <w:kern w:val="0"/>
                <w:sz w:val="32"/>
                <w:szCs w:val="32"/>
              </w:rPr>
              <w:t>马尾校区广播系统设备更新清单及参数</w:t>
            </w:r>
            <w:bookmarkEnd w:id="0"/>
          </w:p>
        </w:tc>
      </w:tr>
      <w:tr>
        <w:tblPrEx>
          <w:tblCellMar>
            <w:top w:w="0" w:type="dxa"/>
            <w:left w:w="108" w:type="dxa"/>
            <w:bottom w:w="0" w:type="dxa"/>
            <w:right w:w="108" w:type="dxa"/>
          </w:tblCellMar>
        </w:tblPrEx>
        <w:trPr>
          <w:trHeight w:val="624" w:hRule="atLeast"/>
        </w:trPr>
        <w:tc>
          <w:tcPr>
            <w:tcW w:w="11376" w:type="dxa"/>
            <w:gridSpan w:val="6"/>
            <w:vMerge w:val="continue"/>
            <w:tcBorders>
              <w:top w:val="nil"/>
              <w:left w:val="nil"/>
              <w:bottom w:val="nil"/>
              <w:right w:val="nil"/>
            </w:tcBorders>
            <w:vAlign w:val="center"/>
          </w:tcPr>
          <w:p>
            <w:pPr>
              <w:widowControl/>
              <w:jc w:val="left"/>
              <w:rPr>
                <w:rFonts w:ascii="宋体" w:hAnsi="宋体" w:cs="宋体"/>
                <w:b/>
                <w:bCs/>
                <w:kern w:val="0"/>
                <w:sz w:val="32"/>
                <w:szCs w:val="32"/>
              </w:rPr>
            </w:pPr>
          </w:p>
        </w:tc>
      </w:tr>
      <w:tr>
        <w:tblPrEx>
          <w:tblCellMar>
            <w:top w:w="0" w:type="dxa"/>
            <w:left w:w="108" w:type="dxa"/>
            <w:bottom w:w="0" w:type="dxa"/>
            <w:right w:w="108" w:type="dxa"/>
          </w:tblCellMar>
        </w:tblPrEx>
        <w:trPr>
          <w:trHeight w:val="645"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22"/>
                <w:szCs w:val="22"/>
              </w:rPr>
            </w:pPr>
            <w:r>
              <w:rPr>
                <w:rFonts w:hint="eastAsia" w:ascii="宋体" w:hAnsi="宋体" w:cs="宋体"/>
                <w:b/>
                <w:bCs/>
                <w:kern w:val="0"/>
                <w:sz w:val="22"/>
                <w:szCs w:val="22"/>
              </w:rPr>
              <w:t>项目</w:t>
            </w:r>
          </w:p>
        </w:tc>
        <w:tc>
          <w:tcPr>
            <w:tcW w:w="10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22"/>
                <w:szCs w:val="22"/>
              </w:rPr>
            </w:pPr>
            <w:r>
              <w:rPr>
                <w:rFonts w:hint="eastAsia" w:ascii="宋体" w:hAnsi="宋体" w:cs="宋体"/>
                <w:b/>
                <w:bCs/>
                <w:kern w:val="0"/>
                <w:sz w:val="22"/>
                <w:szCs w:val="22"/>
              </w:rPr>
              <w:t>名  称</w:t>
            </w:r>
          </w:p>
        </w:tc>
        <w:tc>
          <w:tcPr>
            <w:tcW w:w="43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22"/>
                <w:szCs w:val="22"/>
              </w:rPr>
            </w:pPr>
            <w:r>
              <w:rPr>
                <w:rFonts w:hint="eastAsia" w:ascii="宋体" w:hAnsi="宋体" w:cs="宋体"/>
                <w:b/>
                <w:bCs/>
                <w:kern w:val="0"/>
                <w:sz w:val="22"/>
                <w:szCs w:val="22"/>
              </w:rPr>
              <w:t>规    格</w:t>
            </w:r>
          </w:p>
        </w:tc>
        <w:tc>
          <w:tcPr>
            <w:tcW w:w="53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22"/>
                <w:szCs w:val="22"/>
              </w:rPr>
            </w:pPr>
            <w:r>
              <w:rPr>
                <w:rFonts w:hint="eastAsia" w:ascii="宋体" w:hAnsi="宋体" w:cs="宋体"/>
                <w:b/>
                <w:bCs/>
                <w:kern w:val="0"/>
                <w:sz w:val="22"/>
                <w:szCs w:val="22"/>
              </w:rPr>
              <w:t>数量</w:t>
            </w:r>
          </w:p>
        </w:tc>
        <w:tc>
          <w:tcPr>
            <w:tcW w:w="49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2"/>
                <w:szCs w:val="22"/>
              </w:rPr>
            </w:pPr>
            <w:r>
              <w:rPr>
                <w:rFonts w:hint="eastAsia" w:ascii="宋体" w:hAnsi="宋体" w:cs="宋体"/>
                <w:b/>
                <w:bCs/>
                <w:kern w:val="0"/>
                <w:sz w:val="22"/>
                <w:szCs w:val="22"/>
              </w:rPr>
              <w:t>单位</w:t>
            </w:r>
          </w:p>
        </w:tc>
        <w:tc>
          <w:tcPr>
            <w:tcW w:w="4361"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b/>
                <w:bCs/>
                <w:kern w:val="0"/>
                <w:sz w:val="22"/>
                <w:szCs w:val="22"/>
              </w:rPr>
            </w:pPr>
            <w:r>
              <w:rPr>
                <w:rFonts w:hint="eastAsia" w:ascii="宋体" w:hAnsi="宋体" w:cs="宋体"/>
                <w:b/>
                <w:bCs/>
                <w:kern w:val="0"/>
                <w:sz w:val="22"/>
                <w:szCs w:val="22"/>
              </w:rPr>
              <w:t xml:space="preserve">         备 注</w:t>
            </w:r>
          </w:p>
        </w:tc>
      </w:tr>
      <w:tr>
        <w:tblPrEx>
          <w:tblCellMar>
            <w:top w:w="0" w:type="dxa"/>
            <w:left w:w="108" w:type="dxa"/>
            <w:bottom w:w="0" w:type="dxa"/>
            <w:right w:w="108" w:type="dxa"/>
          </w:tblCellMar>
        </w:tblPrEx>
        <w:trPr>
          <w:trHeight w:val="5280"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专业调音台</w:t>
            </w:r>
          </w:p>
        </w:tc>
        <w:tc>
          <w:tcPr>
            <w:tcW w:w="4327" w:type="dxa"/>
            <w:tcBorders>
              <w:top w:val="nil"/>
              <w:left w:val="nil"/>
              <w:bottom w:val="nil"/>
              <w:right w:val="nil"/>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调音台通道≥12</w:t>
            </w:r>
            <w:r>
              <w:rPr>
                <w:rFonts w:hint="eastAsia" w:ascii="宋体" w:hAnsi="宋体" w:cs="宋体"/>
                <w:kern w:val="0"/>
                <w:sz w:val="20"/>
                <w:szCs w:val="20"/>
              </w:rPr>
              <w:br w:type="textWrapping"/>
            </w:r>
            <w:r>
              <w:rPr>
                <w:rFonts w:hint="eastAsia" w:ascii="宋体" w:hAnsi="宋体" w:cs="宋体"/>
                <w:kern w:val="0"/>
                <w:sz w:val="20"/>
                <w:szCs w:val="20"/>
              </w:rPr>
              <w:t>最多6个话筒 / 12个线路输入 (4个单声道 + 4个立体声)</w:t>
            </w:r>
            <w:r>
              <w:rPr>
                <w:rFonts w:hint="eastAsia" w:ascii="宋体" w:hAnsi="宋体" w:cs="宋体"/>
                <w:kern w:val="0"/>
                <w:sz w:val="20"/>
                <w:szCs w:val="20"/>
              </w:rPr>
              <w:br w:type="textWrapping"/>
            </w:r>
            <w:r>
              <w:rPr>
                <w:rFonts w:hint="eastAsia" w:ascii="宋体" w:hAnsi="宋体" w:cs="宋体"/>
                <w:kern w:val="0"/>
                <w:sz w:val="20"/>
                <w:szCs w:val="20"/>
              </w:rPr>
              <w:t xml:space="preserve">2编组母线 + 1立体声母线        </w:t>
            </w:r>
            <w:r>
              <w:rPr>
                <w:rFonts w:hint="eastAsia" w:ascii="宋体" w:hAnsi="宋体" w:cs="宋体"/>
                <w:kern w:val="0"/>
                <w:sz w:val="20"/>
                <w:szCs w:val="20"/>
              </w:rPr>
              <w:br w:type="textWrapping"/>
            </w:r>
            <w:r>
              <w:rPr>
                <w:rFonts w:hint="eastAsia" w:ascii="宋体" w:hAnsi="宋体" w:cs="宋体"/>
                <w:kern w:val="0"/>
                <w:sz w:val="20"/>
                <w:szCs w:val="20"/>
              </w:rPr>
              <w:t>2 AUX (包括FX)</w:t>
            </w:r>
            <w:r>
              <w:rPr>
                <w:rFonts w:hint="eastAsia" w:ascii="宋体" w:hAnsi="宋体" w:cs="宋体"/>
                <w:kern w:val="0"/>
                <w:sz w:val="20"/>
                <w:szCs w:val="20"/>
              </w:rPr>
              <w:br w:type="textWrapping"/>
            </w:r>
            <w:r>
              <w:rPr>
                <w:rFonts w:hint="eastAsia" w:ascii="宋体" w:hAnsi="宋体" w:cs="宋体"/>
                <w:kern w:val="0"/>
                <w:sz w:val="20"/>
                <w:szCs w:val="20"/>
              </w:rPr>
              <w:t>“D-PRE”话放，带有倒向晶体管电路。</w:t>
            </w:r>
            <w:r>
              <w:rPr>
                <w:rFonts w:hint="eastAsia" w:ascii="宋体" w:hAnsi="宋体" w:cs="宋体"/>
                <w:kern w:val="0"/>
                <w:sz w:val="20"/>
                <w:szCs w:val="20"/>
              </w:rPr>
              <w:br w:type="textWrapping"/>
            </w:r>
            <w:r>
              <w:rPr>
                <w:rFonts w:hint="eastAsia" w:ascii="宋体" w:hAnsi="宋体" w:cs="宋体"/>
                <w:kern w:val="0"/>
                <w:sz w:val="20"/>
                <w:szCs w:val="20"/>
              </w:rPr>
              <w:t>单旋钮压缩器</w:t>
            </w:r>
            <w:r>
              <w:rPr>
                <w:rFonts w:hint="eastAsia" w:ascii="宋体" w:hAnsi="宋体" w:cs="宋体"/>
                <w:kern w:val="0"/>
                <w:sz w:val="20"/>
                <w:szCs w:val="20"/>
              </w:rPr>
              <w:br w:type="textWrapping"/>
            </w:r>
            <w:r>
              <w:rPr>
                <w:rFonts w:hint="eastAsia" w:ascii="宋体" w:hAnsi="宋体" w:cs="宋体"/>
                <w:kern w:val="0"/>
                <w:sz w:val="20"/>
                <w:szCs w:val="20"/>
              </w:rPr>
              <w:t>高级效果器：SPX，含24组预置效果器</w:t>
            </w:r>
            <w:r>
              <w:rPr>
                <w:rFonts w:hint="eastAsia" w:ascii="宋体" w:hAnsi="宋体" w:cs="宋体"/>
                <w:kern w:val="0"/>
                <w:sz w:val="20"/>
                <w:szCs w:val="20"/>
              </w:rPr>
              <w:br w:type="textWrapping"/>
            </w:r>
            <w:r>
              <w:rPr>
                <w:rFonts w:hint="eastAsia" w:ascii="宋体" w:hAnsi="宋体" w:cs="宋体"/>
                <w:kern w:val="0"/>
                <w:sz w:val="20"/>
                <w:szCs w:val="20"/>
              </w:rPr>
              <w:t>24-bit/192kHz 2进/2出 USB音频功能</w:t>
            </w:r>
            <w:r>
              <w:rPr>
                <w:rFonts w:hint="eastAsia" w:ascii="宋体" w:hAnsi="宋体" w:cs="宋体"/>
                <w:kern w:val="0"/>
                <w:sz w:val="20"/>
                <w:szCs w:val="20"/>
              </w:rPr>
              <w:br w:type="textWrapping"/>
            </w:r>
            <w:r>
              <w:rPr>
                <w:rFonts w:hint="eastAsia" w:ascii="宋体" w:hAnsi="宋体" w:cs="宋体"/>
                <w:kern w:val="0"/>
                <w:sz w:val="20"/>
                <w:szCs w:val="20"/>
              </w:rPr>
              <w:t>通过Apple iPad Camera Connection Kit / Lightning to USB Camera Adapter (连接适配器)与iPad (2或更高版本) 连接工作</w:t>
            </w:r>
            <w:r>
              <w:rPr>
                <w:rFonts w:hint="eastAsia" w:ascii="宋体" w:hAnsi="宋体" w:cs="宋体"/>
                <w:kern w:val="0"/>
                <w:sz w:val="20"/>
                <w:szCs w:val="20"/>
              </w:rPr>
              <w:br w:type="textWrapping"/>
            </w:r>
            <w:r>
              <w:rPr>
                <w:rFonts w:hint="eastAsia" w:ascii="宋体" w:hAnsi="宋体" w:cs="宋体"/>
                <w:kern w:val="0"/>
                <w:sz w:val="20"/>
                <w:szCs w:val="20"/>
              </w:rPr>
              <w:t>含Cubase AI DAW下载版软件</w:t>
            </w:r>
            <w:r>
              <w:rPr>
                <w:rFonts w:hint="eastAsia" w:ascii="宋体" w:hAnsi="宋体" w:cs="宋体"/>
                <w:kern w:val="0"/>
                <w:sz w:val="20"/>
                <w:szCs w:val="20"/>
              </w:rPr>
              <w:br w:type="textWrapping"/>
            </w:r>
            <w:r>
              <w:rPr>
                <w:rFonts w:hint="eastAsia" w:ascii="宋体" w:hAnsi="宋体" w:cs="宋体"/>
                <w:kern w:val="0"/>
                <w:sz w:val="20"/>
                <w:szCs w:val="20"/>
              </w:rPr>
              <w:t xml:space="preserve">单声道输入通道上的PAD开关        </w:t>
            </w:r>
            <w:r>
              <w:rPr>
                <w:rFonts w:hint="eastAsia" w:ascii="宋体" w:hAnsi="宋体" w:cs="宋体"/>
                <w:kern w:val="0"/>
                <w:sz w:val="20"/>
                <w:szCs w:val="20"/>
              </w:rPr>
              <w:br w:type="textWrapping"/>
            </w:r>
            <w:r>
              <w:rPr>
                <w:rFonts w:hint="eastAsia" w:ascii="宋体" w:hAnsi="宋体" w:cs="宋体"/>
                <w:kern w:val="0"/>
                <w:sz w:val="20"/>
                <w:szCs w:val="20"/>
              </w:rPr>
              <w:t>+48V幻象供电</w:t>
            </w:r>
            <w:r>
              <w:rPr>
                <w:rFonts w:hint="eastAsia" w:ascii="宋体" w:hAnsi="宋体" w:cs="宋体"/>
                <w:kern w:val="0"/>
                <w:sz w:val="20"/>
                <w:szCs w:val="20"/>
              </w:rPr>
              <w:br w:type="textWrapping"/>
            </w:r>
            <w:r>
              <w:rPr>
                <w:rFonts w:hint="eastAsia" w:ascii="宋体" w:hAnsi="宋体" w:cs="宋体"/>
                <w:kern w:val="0"/>
                <w:sz w:val="20"/>
                <w:szCs w:val="20"/>
              </w:rPr>
              <w:t xml:space="preserve">XLR平衡输出        </w:t>
            </w:r>
            <w:r>
              <w:rPr>
                <w:rFonts w:hint="eastAsia" w:ascii="宋体" w:hAnsi="宋体" w:cs="宋体"/>
                <w:kern w:val="0"/>
                <w:sz w:val="20"/>
                <w:szCs w:val="20"/>
              </w:rPr>
              <w:br w:type="textWrapping"/>
            </w:r>
            <w:r>
              <w:rPr>
                <w:rFonts w:hint="eastAsia" w:ascii="宋体" w:hAnsi="宋体" w:cs="宋体"/>
                <w:kern w:val="0"/>
                <w:sz w:val="20"/>
                <w:szCs w:val="20"/>
              </w:rPr>
              <w:t>世界通用的内部全局供电</w:t>
            </w:r>
            <w:r>
              <w:rPr>
                <w:rFonts w:hint="eastAsia" w:ascii="宋体" w:hAnsi="宋体" w:cs="宋体"/>
                <w:kern w:val="0"/>
                <w:sz w:val="20"/>
                <w:szCs w:val="20"/>
              </w:rPr>
              <w:br w:type="textWrapping"/>
            </w:r>
            <w:r>
              <w:rPr>
                <w:rFonts w:hint="eastAsia" w:ascii="宋体" w:hAnsi="宋体" w:cs="宋体"/>
                <w:kern w:val="0"/>
                <w:sz w:val="20"/>
                <w:szCs w:val="20"/>
              </w:rPr>
              <w:t xml:space="preserve">可选购安装套件 RK-MG12        </w:t>
            </w:r>
            <w:r>
              <w:rPr>
                <w:rFonts w:hint="eastAsia" w:ascii="宋体" w:hAnsi="宋体" w:cs="宋体"/>
                <w:kern w:val="0"/>
                <w:sz w:val="20"/>
                <w:szCs w:val="20"/>
              </w:rPr>
              <w:br w:type="textWrapping"/>
            </w:r>
            <w:r>
              <w:rPr>
                <w:rFonts w:hint="eastAsia" w:ascii="宋体" w:hAnsi="宋体" w:cs="宋体"/>
                <w:kern w:val="0"/>
                <w:sz w:val="20"/>
                <w:szCs w:val="20"/>
              </w:rPr>
              <w:t>金属机身</w:t>
            </w:r>
            <w:r>
              <w:rPr>
                <w:rFonts w:hint="eastAsia" w:ascii="宋体" w:hAnsi="宋体" w:cs="宋体"/>
                <w:kern w:val="0"/>
                <w:sz w:val="20"/>
                <w:szCs w:val="20"/>
              </w:rPr>
              <w:br w:type="textWrapping"/>
            </w:r>
            <w:r>
              <w:rPr>
                <w:rFonts w:hint="eastAsia" w:ascii="宋体" w:hAnsi="宋体" w:cs="宋体"/>
                <w:kern w:val="0"/>
                <w:sz w:val="20"/>
                <w:szCs w:val="20"/>
              </w:rPr>
              <w:t>外观尺寸(W×H×D)： 308 mm x 118 mm x 422 mm (12.1" x4.6" x16.6")</w:t>
            </w:r>
            <w:r>
              <w:rPr>
                <w:rFonts w:hint="eastAsia" w:ascii="宋体" w:hAnsi="宋体" w:cs="宋体"/>
                <w:kern w:val="0"/>
                <w:sz w:val="20"/>
                <w:szCs w:val="20"/>
              </w:rPr>
              <w:br w:type="textWrapping"/>
            </w:r>
            <w:r>
              <w:rPr>
                <w:rFonts w:hint="eastAsia" w:ascii="宋体" w:hAnsi="宋体" w:cs="宋体"/>
                <w:kern w:val="0"/>
                <w:sz w:val="20"/>
                <w:szCs w:val="20"/>
              </w:rPr>
              <w:t>净重：≥4.2 kg (9.3 lbs.)</w:t>
            </w:r>
          </w:p>
        </w:tc>
        <w:tc>
          <w:tcPr>
            <w:tcW w:w="53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4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台</w:t>
            </w:r>
          </w:p>
        </w:tc>
        <w:tc>
          <w:tcPr>
            <w:tcW w:w="43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22"/>
                <w:szCs w:val="22"/>
              </w:rPr>
            </w:pPr>
          </w:p>
        </w:tc>
      </w:tr>
      <w:tr>
        <w:tblPrEx>
          <w:tblCellMar>
            <w:top w:w="0" w:type="dxa"/>
            <w:left w:w="108" w:type="dxa"/>
            <w:bottom w:w="0" w:type="dxa"/>
            <w:right w:w="108" w:type="dxa"/>
          </w:tblCellMar>
        </w:tblPrEx>
        <w:trPr>
          <w:trHeight w:val="3720"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专业调音台</w:t>
            </w:r>
          </w:p>
        </w:tc>
        <w:tc>
          <w:tcPr>
            <w:tcW w:w="432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调音台输入通道≥10，4个话筒 / 10 个线路输入 (4 个单声道 + 3 个立体声) / 1 立体声母线 / 1 AUX </w:t>
            </w:r>
            <w:r>
              <w:rPr>
                <w:rFonts w:hint="eastAsia" w:ascii="宋体" w:hAnsi="宋体" w:cs="宋体"/>
                <w:kern w:val="0"/>
                <w:sz w:val="20"/>
                <w:szCs w:val="20"/>
              </w:rPr>
              <w:br w:type="textWrapping"/>
            </w:r>
            <w:r>
              <w:rPr>
                <w:rFonts w:hint="eastAsia" w:ascii="宋体" w:hAnsi="宋体" w:cs="宋体"/>
                <w:kern w:val="0"/>
                <w:sz w:val="20"/>
                <w:szCs w:val="20"/>
              </w:rPr>
              <w:t>4个话筒 / 10个线路输入 (4个单声道 + 3个立体声)</w:t>
            </w:r>
            <w:r>
              <w:rPr>
                <w:rFonts w:hint="eastAsia" w:ascii="宋体" w:hAnsi="宋体" w:cs="宋体"/>
                <w:kern w:val="0"/>
                <w:sz w:val="20"/>
                <w:szCs w:val="20"/>
              </w:rPr>
              <w:br w:type="textWrapping"/>
            </w:r>
            <w:r>
              <w:rPr>
                <w:rFonts w:hint="eastAsia" w:ascii="宋体" w:hAnsi="宋体" w:cs="宋体"/>
                <w:kern w:val="0"/>
                <w:sz w:val="20"/>
                <w:szCs w:val="20"/>
              </w:rPr>
              <w:t>1立体声母线</w:t>
            </w:r>
            <w:r>
              <w:rPr>
                <w:rFonts w:hint="eastAsia" w:ascii="宋体" w:hAnsi="宋体" w:cs="宋体"/>
                <w:kern w:val="0"/>
                <w:sz w:val="20"/>
                <w:szCs w:val="20"/>
              </w:rPr>
              <w:br w:type="textWrapping"/>
            </w:r>
            <w:r>
              <w:rPr>
                <w:rFonts w:hint="eastAsia" w:ascii="宋体" w:hAnsi="宋体" w:cs="宋体"/>
                <w:kern w:val="0"/>
                <w:sz w:val="20"/>
                <w:szCs w:val="20"/>
              </w:rPr>
              <w:t>1 AUX (包括FX)</w:t>
            </w:r>
            <w:r>
              <w:rPr>
                <w:rFonts w:hint="eastAsia" w:ascii="宋体" w:hAnsi="宋体" w:cs="宋体"/>
                <w:kern w:val="0"/>
                <w:sz w:val="20"/>
                <w:szCs w:val="20"/>
              </w:rPr>
              <w:br w:type="textWrapping"/>
            </w:r>
            <w:r>
              <w:rPr>
                <w:rFonts w:hint="eastAsia" w:ascii="宋体" w:hAnsi="宋体" w:cs="宋体"/>
                <w:kern w:val="0"/>
                <w:sz w:val="20"/>
                <w:szCs w:val="20"/>
              </w:rPr>
              <w:t>“D-PRE”话放，带有倒向晶体管电路。</w:t>
            </w:r>
            <w:r>
              <w:rPr>
                <w:rFonts w:hint="eastAsia" w:ascii="宋体" w:hAnsi="宋体" w:cs="宋体"/>
                <w:kern w:val="0"/>
                <w:sz w:val="20"/>
                <w:szCs w:val="20"/>
              </w:rPr>
              <w:br w:type="textWrapping"/>
            </w:r>
            <w:r>
              <w:rPr>
                <w:rFonts w:hint="eastAsia" w:ascii="宋体" w:hAnsi="宋体" w:cs="宋体"/>
                <w:kern w:val="0"/>
                <w:sz w:val="20"/>
                <w:szCs w:val="20"/>
              </w:rPr>
              <w:t>单旋钮压缩器</w:t>
            </w:r>
            <w:r>
              <w:rPr>
                <w:rFonts w:hint="eastAsia" w:ascii="宋体" w:hAnsi="宋体" w:cs="宋体"/>
                <w:kern w:val="0"/>
                <w:sz w:val="20"/>
                <w:szCs w:val="20"/>
              </w:rPr>
              <w:br w:type="textWrapping"/>
            </w:r>
            <w:r>
              <w:rPr>
                <w:rFonts w:hint="eastAsia" w:ascii="宋体" w:hAnsi="宋体" w:cs="宋体"/>
                <w:kern w:val="0"/>
                <w:sz w:val="20"/>
                <w:szCs w:val="20"/>
              </w:rPr>
              <w:t>单声道输入通道上的PAD开关</w:t>
            </w:r>
            <w:r>
              <w:rPr>
                <w:rFonts w:hint="eastAsia" w:ascii="宋体" w:hAnsi="宋体" w:cs="宋体"/>
                <w:kern w:val="0"/>
                <w:sz w:val="20"/>
                <w:szCs w:val="20"/>
              </w:rPr>
              <w:br w:type="textWrapping"/>
            </w:r>
            <w:r>
              <w:rPr>
                <w:rFonts w:hint="eastAsia" w:ascii="宋体" w:hAnsi="宋体" w:cs="宋体"/>
                <w:kern w:val="0"/>
                <w:sz w:val="20"/>
                <w:szCs w:val="20"/>
              </w:rPr>
              <w:t>+48V幻象供电</w:t>
            </w:r>
            <w:r>
              <w:rPr>
                <w:rFonts w:hint="eastAsia" w:ascii="宋体" w:hAnsi="宋体" w:cs="宋体"/>
                <w:kern w:val="0"/>
                <w:sz w:val="20"/>
                <w:szCs w:val="20"/>
              </w:rPr>
              <w:br w:type="textWrapping"/>
            </w:r>
            <w:r>
              <w:rPr>
                <w:rFonts w:hint="eastAsia" w:ascii="宋体" w:hAnsi="宋体" w:cs="宋体"/>
                <w:kern w:val="0"/>
                <w:sz w:val="20"/>
                <w:szCs w:val="20"/>
              </w:rPr>
              <w:t>XLR平衡输出</w:t>
            </w:r>
            <w:r>
              <w:rPr>
                <w:rFonts w:hint="eastAsia" w:ascii="宋体" w:hAnsi="宋体" w:cs="宋体"/>
                <w:kern w:val="0"/>
                <w:sz w:val="20"/>
                <w:szCs w:val="20"/>
              </w:rPr>
              <w:br w:type="textWrapping"/>
            </w:r>
            <w:r>
              <w:rPr>
                <w:rFonts w:hint="eastAsia" w:ascii="宋体" w:hAnsi="宋体" w:cs="宋体"/>
                <w:kern w:val="0"/>
                <w:sz w:val="20"/>
                <w:szCs w:val="20"/>
              </w:rPr>
              <w:t>金属机身</w:t>
            </w:r>
            <w:r>
              <w:rPr>
                <w:rFonts w:hint="eastAsia" w:ascii="宋体" w:hAnsi="宋体" w:cs="宋体"/>
                <w:kern w:val="0"/>
                <w:sz w:val="20"/>
                <w:szCs w:val="20"/>
              </w:rPr>
              <w:br w:type="textWrapping"/>
            </w:r>
            <w:r>
              <w:rPr>
                <w:rFonts w:hint="eastAsia" w:ascii="宋体" w:hAnsi="宋体" w:cs="宋体"/>
                <w:kern w:val="0"/>
                <w:sz w:val="20"/>
                <w:szCs w:val="20"/>
              </w:rPr>
              <w:t>外观尺寸(W×H×D)： 244 mm x 71 mm x 294 mm (9.6"x 2.8"x 11.6")</w:t>
            </w:r>
            <w:r>
              <w:rPr>
                <w:rFonts w:hint="eastAsia" w:ascii="宋体" w:hAnsi="宋体" w:cs="宋体"/>
                <w:kern w:val="0"/>
                <w:sz w:val="20"/>
                <w:szCs w:val="20"/>
              </w:rPr>
              <w:br w:type="textWrapping"/>
            </w:r>
            <w:r>
              <w:rPr>
                <w:rFonts w:hint="eastAsia" w:ascii="宋体" w:hAnsi="宋体" w:cs="宋体"/>
                <w:kern w:val="0"/>
                <w:sz w:val="20"/>
                <w:szCs w:val="20"/>
              </w:rPr>
              <w:t>净重：≥1.9 kg (4.19 lbs.)</w:t>
            </w:r>
          </w:p>
        </w:tc>
        <w:tc>
          <w:tcPr>
            <w:tcW w:w="5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4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台</w:t>
            </w:r>
          </w:p>
        </w:tc>
        <w:tc>
          <w:tcPr>
            <w:tcW w:w="4361" w:type="dxa"/>
            <w:tcBorders>
              <w:top w:val="nil"/>
              <w:left w:val="nil"/>
              <w:bottom w:val="nil"/>
              <w:right w:val="nil"/>
            </w:tcBorders>
            <w:shd w:val="clear" w:color="auto" w:fill="auto"/>
            <w:noWrap/>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drawing>
                <wp:anchor distT="0" distB="0" distL="114300" distR="114300" simplePos="0" relativeHeight="251659264" behindDoc="0" locked="0" layoutInCell="1" allowOverlap="1">
                  <wp:simplePos x="0" y="0"/>
                  <wp:positionH relativeFrom="column">
                    <wp:posOffset>95250</wp:posOffset>
                  </wp:positionH>
                  <wp:positionV relativeFrom="paragraph">
                    <wp:posOffset>4810125</wp:posOffset>
                  </wp:positionV>
                  <wp:extent cx="1809750" cy="1266825"/>
                  <wp:effectExtent l="0" t="0" r="0" b="9525"/>
                  <wp:wrapNone/>
                  <wp:docPr id="11" name="图片 11" descr="HA2通道专业功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HA2通道专业功放"/>
                          <pic:cNvPicPr>
                            <a:picLocks noChangeAspect="1" noChangeArrowheads="1"/>
                          </pic:cNvPicPr>
                        </pic:nvPicPr>
                        <pic:blipFill>
                          <a:blip r:embed="rId5" cstate="print"/>
                          <a:srcRect/>
                          <a:stretch>
                            <a:fillRect/>
                          </a:stretch>
                        </pic:blipFill>
                        <pic:spPr>
                          <a:xfrm>
                            <a:off x="0" y="0"/>
                            <a:ext cx="1809750" cy="1266825"/>
                          </a:xfrm>
                          <a:prstGeom prst="rect">
                            <a:avLst/>
                          </a:prstGeom>
                          <a:noFill/>
                          <a:ln w="9525">
                            <a:noFill/>
                            <a:miter lim="800000"/>
                            <a:headEnd/>
                            <a:tailEnd/>
                          </a:ln>
                        </pic:spPr>
                      </pic:pic>
                    </a:graphicData>
                  </a:graphic>
                </wp:anchor>
              </w:drawing>
            </w:r>
          </w:p>
          <w:tbl>
            <w:tblPr>
              <w:tblStyle w:val="8"/>
              <w:tblW w:w="0" w:type="auto"/>
              <w:tblCellSpacing w:w="0" w:type="dxa"/>
              <w:tblInd w:w="0" w:type="dxa"/>
              <w:tblLayout w:type="autofit"/>
              <w:tblCellMar>
                <w:top w:w="0" w:type="dxa"/>
                <w:left w:w="0" w:type="dxa"/>
                <w:bottom w:w="0" w:type="dxa"/>
                <w:right w:w="0" w:type="dxa"/>
              </w:tblCellMar>
            </w:tblPr>
            <w:tblGrid>
              <w:gridCol w:w="3200"/>
            </w:tblGrid>
            <w:tr>
              <w:tblPrEx>
                <w:tblCellMar>
                  <w:top w:w="0" w:type="dxa"/>
                  <w:left w:w="0" w:type="dxa"/>
                  <w:bottom w:w="0" w:type="dxa"/>
                  <w:right w:w="0" w:type="dxa"/>
                </w:tblCellMar>
              </w:tblPrEx>
              <w:trPr>
                <w:trHeight w:val="4474" w:hRule="atLeast"/>
                <w:tblCellSpacing w:w="0" w:type="dxa"/>
              </w:trPr>
              <w:tc>
                <w:tcPr>
                  <w:tcW w:w="32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22"/>
                      <w:szCs w:val="22"/>
                    </w:rPr>
                  </w:pPr>
                  <w:r>
                    <w:rPr>
                      <w:rFonts w:hint="eastAsia" w:ascii="宋体" w:hAnsi="宋体" w:cs="宋体"/>
                      <w:b/>
                      <w:bCs/>
                      <w:kern w:val="0"/>
                      <w:sz w:val="22"/>
                      <w:szCs w:val="22"/>
                    </w:rPr>
                    <w:t>　</w:t>
                  </w:r>
                </w:p>
              </w:tc>
            </w:tr>
          </w:tbl>
          <w:p>
            <w:pPr>
              <w:widowControl/>
              <w:jc w:val="left"/>
              <w:rPr>
                <w:rFonts w:hint="eastAsia" w:ascii="宋体" w:hAnsi="宋体" w:cs="宋体"/>
                <w:color w:val="000000"/>
                <w:kern w:val="0"/>
                <w:sz w:val="22"/>
                <w:szCs w:val="22"/>
              </w:rPr>
            </w:pPr>
          </w:p>
        </w:tc>
      </w:tr>
      <w:tr>
        <w:tblPrEx>
          <w:tblCellMar>
            <w:top w:w="0" w:type="dxa"/>
            <w:left w:w="108" w:type="dxa"/>
            <w:bottom w:w="0" w:type="dxa"/>
            <w:right w:w="108" w:type="dxa"/>
          </w:tblCellMar>
        </w:tblPrEx>
        <w:trPr>
          <w:trHeight w:val="268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专业全频音箱</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系统类型： 双15" 全音域设计</w:t>
            </w:r>
            <w:r>
              <w:rPr>
                <w:rFonts w:hint="eastAsia" w:ascii="宋体" w:hAnsi="宋体" w:cs="宋体"/>
                <w:kern w:val="0"/>
                <w:sz w:val="20"/>
                <w:szCs w:val="20"/>
              </w:rPr>
              <w:br w:type="textWrapping"/>
            </w:r>
            <w:r>
              <w:rPr>
                <w:rFonts w:hint="eastAsia" w:ascii="宋体" w:hAnsi="宋体" w:cs="宋体"/>
                <w:kern w:val="0"/>
                <w:sz w:val="20"/>
                <w:szCs w:val="20"/>
              </w:rPr>
              <w:t>频率响应 : 40Hz-18kHz（±3dB）/30Hz-19kHz(-10dB)</w:t>
            </w:r>
            <w:r>
              <w:rPr>
                <w:rFonts w:hint="eastAsia" w:ascii="宋体" w:hAnsi="宋体" w:cs="宋体"/>
                <w:kern w:val="0"/>
                <w:sz w:val="20"/>
                <w:szCs w:val="20"/>
              </w:rPr>
              <w:br w:type="textWrapping"/>
            </w:r>
            <w:r>
              <w:rPr>
                <w:rFonts w:hint="eastAsia" w:ascii="宋体" w:hAnsi="宋体" w:cs="宋体"/>
                <w:kern w:val="0"/>
                <w:sz w:val="20"/>
                <w:szCs w:val="20"/>
              </w:rPr>
              <w:t>灵敏度:≥ 103dB</w:t>
            </w:r>
            <w:r>
              <w:rPr>
                <w:rFonts w:hint="eastAsia" w:ascii="宋体" w:hAnsi="宋体" w:cs="宋体"/>
                <w:kern w:val="0"/>
                <w:sz w:val="20"/>
                <w:szCs w:val="20"/>
              </w:rPr>
              <w:br w:type="textWrapping"/>
            </w:r>
            <w:r>
              <w:rPr>
                <w:rFonts w:hint="eastAsia" w:ascii="宋体" w:hAnsi="宋体" w:cs="宋体"/>
                <w:kern w:val="0"/>
                <w:sz w:val="20"/>
                <w:szCs w:val="20"/>
              </w:rPr>
              <w:t>标称阻抗 : 4 Ohm</w:t>
            </w:r>
            <w:r>
              <w:rPr>
                <w:rFonts w:hint="eastAsia" w:ascii="宋体" w:hAnsi="宋体" w:cs="宋体"/>
                <w:kern w:val="0"/>
                <w:sz w:val="20"/>
                <w:szCs w:val="20"/>
              </w:rPr>
              <w:br w:type="textWrapping"/>
            </w:r>
            <w:r>
              <w:rPr>
                <w:rFonts w:hint="eastAsia" w:ascii="宋体" w:hAnsi="宋体" w:cs="宋体"/>
                <w:kern w:val="0"/>
                <w:sz w:val="20"/>
                <w:szCs w:val="20"/>
              </w:rPr>
              <w:t xml:space="preserve">额定功率 : ≥1200W(AES)                                                                                                                                                                        </w:t>
            </w:r>
            <w:r>
              <w:rPr>
                <w:rFonts w:hint="eastAsia" w:ascii="宋体" w:hAnsi="宋体" w:cs="宋体"/>
                <w:kern w:val="0"/>
                <w:sz w:val="20"/>
                <w:szCs w:val="20"/>
              </w:rPr>
              <w:br w:type="textWrapping"/>
            </w:r>
            <w:r>
              <w:rPr>
                <w:rFonts w:hint="eastAsia" w:ascii="宋体" w:hAnsi="宋体" w:cs="宋体"/>
                <w:kern w:val="0"/>
                <w:sz w:val="20"/>
                <w:szCs w:val="20"/>
              </w:rPr>
              <w:t>低音单元 :2×15〞</w:t>
            </w:r>
            <w:r>
              <w:rPr>
                <w:rFonts w:hint="eastAsia" w:ascii="宋体" w:hAnsi="宋体" w:cs="宋体"/>
                <w:kern w:val="0"/>
                <w:sz w:val="20"/>
                <w:szCs w:val="20"/>
              </w:rPr>
              <w:br w:type="textWrapping"/>
            </w:r>
            <w:r>
              <w:rPr>
                <w:rFonts w:hint="eastAsia" w:ascii="宋体" w:hAnsi="宋体" w:cs="宋体"/>
                <w:kern w:val="0"/>
                <w:sz w:val="20"/>
                <w:szCs w:val="20"/>
              </w:rPr>
              <w:t>高音单元 :1×2〞</w:t>
            </w:r>
            <w:r>
              <w:rPr>
                <w:rFonts w:hint="eastAsia" w:ascii="宋体" w:hAnsi="宋体" w:cs="宋体"/>
                <w:kern w:val="0"/>
                <w:sz w:val="20"/>
                <w:szCs w:val="20"/>
              </w:rPr>
              <w:br w:type="textWrapping"/>
            </w:r>
            <w:r>
              <w:rPr>
                <w:rFonts w:hint="eastAsia" w:ascii="宋体" w:hAnsi="宋体" w:cs="宋体"/>
                <w:kern w:val="0"/>
                <w:sz w:val="20"/>
                <w:szCs w:val="20"/>
              </w:rPr>
              <w:t>标称覆盖角 : 90°(H)×60°(V)</w:t>
            </w:r>
            <w:r>
              <w:rPr>
                <w:rFonts w:hint="eastAsia" w:ascii="宋体" w:hAnsi="宋体" w:cs="宋体"/>
                <w:kern w:val="0"/>
                <w:sz w:val="20"/>
                <w:szCs w:val="20"/>
              </w:rPr>
              <w:br w:type="textWrapping"/>
            </w:r>
            <w:r>
              <w:rPr>
                <w:rFonts w:hint="eastAsia" w:ascii="宋体" w:hAnsi="宋体" w:cs="宋体"/>
                <w:kern w:val="0"/>
                <w:sz w:val="20"/>
                <w:szCs w:val="20"/>
              </w:rPr>
              <w:t>最大声压级: 129dB SPL,133dB SPL peak</w:t>
            </w:r>
          </w:p>
        </w:tc>
        <w:tc>
          <w:tcPr>
            <w:tcW w:w="5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w:t>
            </w:r>
          </w:p>
        </w:tc>
        <w:tc>
          <w:tcPr>
            <w:tcW w:w="4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只</w:t>
            </w:r>
          </w:p>
        </w:tc>
        <w:tc>
          <w:tcPr>
            <w:tcW w:w="43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39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专业功放</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输出功率 : 8欧姆立体声≥  1250W</w:t>
            </w:r>
            <w:r>
              <w:rPr>
                <w:rFonts w:hint="eastAsia" w:ascii="宋体" w:hAnsi="宋体" w:cs="宋体"/>
                <w:kern w:val="0"/>
                <w:sz w:val="20"/>
                <w:szCs w:val="20"/>
              </w:rPr>
              <w:br w:type="textWrapping"/>
            </w:r>
            <w:r>
              <w:rPr>
                <w:rFonts w:hint="eastAsia" w:ascii="宋体" w:hAnsi="宋体" w:cs="宋体"/>
                <w:kern w:val="0"/>
                <w:sz w:val="20"/>
                <w:szCs w:val="20"/>
              </w:rPr>
              <w:t xml:space="preserve">           4欧姆立体声 ≥ 1700W</w:t>
            </w:r>
            <w:r>
              <w:rPr>
                <w:rFonts w:hint="eastAsia" w:ascii="宋体" w:hAnsi="宋体" w:cs="宋体"/>
                <w:kern w:val="0"/>
                <w:sz w:val="20"/>
                <w:szCs w:val="20"/>
              </w:rPr>
              <w:br w:type="textWrapping"/>
            </w:r>
            <w:r>
              <w:rPr>
                <w:rFonts w:hint="eastAsia" w:ascii="宋体" w:hAnsi="宋体" w:cs="宋体"/>
                <w:kern w:val="0"/>
                <w:sz w:val="20"/>
                <w:szCs w:val="20"/>
              </w:rPr>
              <w:t>频响:   20Hz～20KHz,-0.5dB</w:t>
            </w:r>
            <w:r>
              <w:rPr>
                <w:rFonts w:hint="eastAsia" w:ascii="宋体" w:hAnsi="宋体" w:cs="宋体"/>
                <w:kern w:val="0"/>
                <w:sz w:val="20"/>
                <w:szCs w:val="20"/>
              </w:rPr>
              <w:br w:type="textWrapping"/>
            </w:r>
            <w:r>
              <w:rPr>
                <w:rFonts w:hint="eastAsia" w:ascii="宋体" w:hAnsi="宋体" w:cs="宋体"/>
                <w:kern w:val="0"/>
                <w:sz w:val="20"/>
                <w:szCs w:val="20"/>
              </w:rPr>
              <w:t>系统保护内置：短路、过热、电涌、低电压、高频、开关机静音、失真限制等保护设置</w:t>
            </w:r>
            <w:r>
              <w:rPr>
                <w:rFonts w:hint="eastAsia" w:ascii="宋体" w:hAnsi="宋体" w:cs="宋体"/>
                <w:kern w:val="0"/>
                <w:sz w:val="20"/>
                <w:szCs w:val="20"/>
              </w:rPr>
              <w:br w:type="textWrapping"/>
            </w:r>
            <w:r>
              <w:rPr>
                <w:rFonts w:hint="eastAsia" w:ascii="宋体" w:hAnsi="宋体" w:cs="宋体"/>
                <w:kern w:val="0"/>
                <w:sz w:val="20"/>
                <w:szCs w:val="20"/>
              </w:rPr>
              <w:t>总谐失真 ＜0.1%</w:t>
            </w:r>
            <w:r>
              <w:rPr>
                <w:rFonts w:hint="eastAsia" w:ascii="宋体" w:hAnsi="宋体" w:cs="宋体"/>
                <w:kern w:val="0"/>
                <w:sz w:val="20"/>
                <w:szCs w:val="20"/>
              </w:rPr>
              <w:br w:type="textWrapping"/>
            </w:r>
            <w:r>
              <w:rPr>
                <w:rFonts w:hint="eastAsia" w:ascii="宋体" w:hAnsi="宋体" w:cs="宋体"/>
                <w:kern w:val="0"/>
                <w:sz w:val="20"/>
                <w:szCs w:val="20"/>
              </w:rPr>
              <w:t>阻尼系数 ＞200</w:t>
            </w:r>
            <w:r>
              <w:rPr>
                <w:rFonts w:hint="eastAsia" w:ascii="宋体" w:hAnsi="宋体" w:cs="宋体"/>
                <w:kern w:val="0"/>
                <w:sz w:val="20"/>
                <w:szCs w:val="20"/>
              </w:rPr>
              <w:br w:type="textWrapping"/>
            </w:r>
            <w:r>
              <w:rPr>
                <w:rFonts w:hint="eastAsia" w:ascii="宋体" w:hAnsi="宋体" w:cs="宋体"/>
                <w:kern w:val="0"/>
                <w:sz w:val="20"/>
                <w:szCs w:val="20"/>
              </w:rPr>
              <w:t>标称灵敏度 0.775 V</w:t>
            </w:r>
            <w:r>
              <w:rPr>
                <w:rFonts w:hint="eastAsia" w:ascii="宋体" w:hAnsi="宋体" w:cs="宋体"/>
                <w:kern w:val="0"/>
                <w:sz w:val="20"/>
                <w:szCs w:val="20"/>
              </w:rPr>
              <w:br w:type="textWrapping"/>
            </w:r>
            <w:r>
              <w:rPr>
                <w:rFonts w:hint="eastAsia" w:ascii="宋体" w:hAnsi="宋体" w:cs="宋体"/>
                <w:kern w:val="0"/>
                <w:sz w:val="20"/>
                <w:szCs w:val="20"/>
              </w:rPr>
              <w:t>标称电压增益 ×110</w:t>
            </w:r>
            <w:r>
              <w:rPr>
                <w:rFonts w:hint="eastAsia" w:ascii="宋体" w:hAnsi="宋体" w:cs="宋体"/>
                <w:kern w:val="0"/>
                <w:sz w:val="20"/>
                <w:szCs w:val="20"/>
              </w:rPr>
              <w:br w:type="textWrapping"/>
            </w:r>
            <w:r>
              <w:rPr>
                <w:rFonts w:hint="eastAsia" w:ascii="宋体" w:hAnsi="宋体" w:cs="宋体"/>
                <w:kern w:val="0"/>
                <w:sz w:val="20"/>
                <w:szCs w:val="20"/>
              </w:rPr>
              <w:t>输入阻抗 20KΩ</w:t>
            </w:r>
            <w:r>
              <w:rPr>
                <w:rFonts w:hint="eastAsia" w:ascii="宋体" w:hAnsi="宋体" w:cs="宋体"/>
                <w:kern w:val="0"/>
                <w:sz w:val="20"/>
                <w:szCs w:val="20"/>
              </w:rPr>
              <w:br w:type="textWrapping"/>
            </w:r>
            <w:r>
              <w:rPr>
                <w:rFonts w:hint="eastAsia" w:ascii="宋体" w:hAnsi="宋体" w:cs="宋体"/>
                <w:kern w:val="0"/>
                <w:sz w:val="20"/>
                <w:szCs w:val="20"/>
              </w:rPr>
              <w:t>信噪比 ＞100 dB</w:t>
            </w:r>
            <w:r>
              <w:rPr>
                <w:rFonts w:hint="eastAsia" w:ascii="宋体" w:hAnsi="宋体" w:cs="宋体"/>
                <w:kern w:val="0"/>
                <w:sz w:val="20"/>
                <w:szCs w:val="20"/>
              </w:rPr>
              <w:br w:type="textWrapping"/>
            </w:r>
            <w:r>
              <w:rPr>
                <w:rFonts w:hint="eastAsia" w:ascii="宋体" w:hAnsi="宋体" w:cs="宋体"/>
                <w:kern w:val="0"/>
                <w:sz w:val="20"/>
                <w:szCs w:val="20"/>
              </w:rPr>
              <w:t>输入插座 卡侬公/母</w:t>
            </w:r>
            <w:r>
              <w:rPr>
                <w:rFonts w:hint="eastAsia" w:ascii="宋体" w:hAnsi="宋体" w:cs="宋体"/>
                <w:kern w:val="0"/>
                <w:sz w:val="20"/>
                <w:szCs w:val="20"/>
              </w:rPr>
              <w:br w:type="textWrapping"/>
            </w:r>
            <w:r>
              <w:rPr>
                <w:rFonts w:hint="eastAsia" w:ascii="宋体" w:hAnsi="宋体" w:cs="宋体"/>
                <w:kern w:val="0"/>
                <w:sz w:val="20"/>
                <w:szCs w:val="20"/>
              </w:rPr>
              <w:t>输出插座 NL4MP 4芯插座</w:t>
            </w:r>
            <w:r>
              <w:rPr>
                <w:rFonts w:hint="eastAsia" w:ascii="宋体" w:hAnsi="宋体" w:cs="宋体"/>
                <w:kern w:val="0"/>
                <w:sz w:val="20"/>
                <w:szCs w:val="20"/>
              </w:rPr>
              <w:br w:type="textWrapping"/>
            </w:r>
            <w:r>
              <w:rPr>
                <w:rFonts w:hint="eastAsia" w:ascii="宋体" w:hAnsi="宋体" w:cs="宋体"/>
                <w:kern w:val="0"/>
                <w:sz w:val="20"/>
                <w:szCs w:val="20"/>
              </w:rPr>
              <w:t>电压匹配 220V～240V, 50～60 Hz</w:t>
            </w:r>
            <w:r>
              <w:rPr>
                <w:rFonts w:hint="eastAsia" w:ascii="宋体" w:hAnsi="宋体" w:cs="宋体"/>
                <w:kern w:val="0"/>
                <w:sz w:val="20"/>
                <w:szCs w:val="20"/>
              </w:rPr>
              <w:br w:type="textWrapping"/>
            </w:r>
            <w:r>
              <w:rPr>
                <w:rFonts w:hint="eastAsia" w:ascii="宋体" w:hAnsi="宋体" w:cs="宋体"/>
                <w:kern w:val="0"/>
                <w:sz w:val="20"/>
                <w:szCs w:val="20"/>
              </w:rPr>
              <w:t>冷却方式 温控风扇制冷</w:t>
            </w:r>
            <w:r>
              <w:rPr>
                <w:rFonts w:hint="eastAsia" w:ascii="宋体" w:hAnsi="宋体" w:cs="宋体"/>
                <w:kern w:val="0"/>
                <w:sz w:val="20"/>
                <w:szCs w:val="20"/>
              </w:rPr>
              <w:br w:type="textWrapping"/>
            </w:r>
            <w:r>
              <w:rPr>
                <w:rFonts w:hint="eastAsia" w:ascii="宋体" w:hAnsi="宋体" w:cs="宋体"/>
                <w:kern w:val="0"/>
                <w:sz w:val="20"/>
                <w:szCs w:val="20"/>
              </w:rPr>
              <w:t>信号灯指示 Clipmit, Signal, Temp/DC, Active</w:t>
            </w:r>
          </w:p>
        </w:tc>
        <w:tc>
          <w:tcPr>
            <w:tcW w:w="5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4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台</w:t>
            </w:r>
          </w:p>
        </w:tc>
        <w:tc>
          <w:tcPr>
            <w:tcW w:w="4361"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3240"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真分集手持无线话筒</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一键自动搜频接收机，手持电量监控，接收机可控接收距离，线路自带ID，同一频段可叠机10台                                                                                                                                  </w:t>
            </w:r>
            <w:r>
              <w:rPr>
                <w:rFonts w:hint="eastAsia" w:ascii="宋体" w:hAnsi="宋体" w:cs="宋体"/>
                <w:kern w:val="0"/>
                <w:sz w:val="20"/>
                <w:szCs w:val="20"/>
              </w:rPr>
              <w:br w:type="textWrapping"/>
            </w:r>
            <w:r>
              <w:rPr>
                <w:rFonts w:hint="eastAsia" w:ascii="宋体" w:hAnsi="宋体" w:cs="宋体"/>
                <w:kern w:val="0"/>
                <w:sz w:val="20"/>
                <w:szCs w:val="20"/>
              </w:rPr>
              <w:t>载波频段  UHF618~936MH z</w:t>
            </w:r>
            <w:r>
              <w:rPr>
                <w:rFonts w:hint="eastAsia" w:ascii="宋体" w:hAnsi="宋体" w:cs="宋体"/>
                <w:kern w:val="0"/>
                <w:sz w:val="20"/>
                <w:szCs w:val="20"/>
              </w:rPr>
              <w:br w:type="textWrapping"/>
            </w:r>
            <w:r>
              <w:rPr>
                <w:rFonts w:hint="eastAsia" w:ascii="宋体" w:hAnsi="宋体" w:cs="宋体"/>
                <w:kern w:val="0"/>
                <w:sz w:val="20"/>
                <w:szCs w:val="20"/>
              </w:rPr>
              <w:t>振荡方式 PLL相位锁定频率合成</w:t>
            </w:r>
            <w:r>
              <w:rPr>
                <w:rFonts w:hint="eastAsia" w:ascii="宋体" w:hAnsi="宋体" w:cs="宋体"/>
                <w:kern w:val="0"/>
                <w:sz w:val="20"/>
                <w:szCs w:val="20"/>
              </w:rPr>
              <w:br w:type="textWrapping"/>
            </w:r>
            <w:r>
              <w:rPr>
                <w:rFonts w:hint="eastAsia" w:ascii="宋体" w:hAnsi="宋体" w:cs="宋体"/>
                <w:kern w:val="0"/>
                <w:sz w:val="20"/>
                <w:szCs w:val="20"/>
              </w:rPr>
              <w:t>谐波辐射 &lt;-63dBm</w:t>
            </w:r>
            <w:r>
              <w:rPr>
                <w:rFonts w:hint="eastAsia" w:ascii="宋体" w:hAnsi="宋体" w:cs="宋体"/>
                <w:kern w:val="0"/>
                <w:sz w:val="20"/>
                <w:szCs w:val="20"/>
              </w:rPr>
              <w:br w:type="textWrapping"/>
            </w:r>
            <w:r>
              <w:rPr>
                <w:rFonts w:hint="eastAsia" w:ascii="宋体" w:hAnsi="宋体" w:cs="宋体"/>
                <w:kern w:val="0"/>
                <w:sz w:val="20"/>
                <w:szCs w:val="20"/>
              </w:rPr>
              <w:t>频带宽度 ≥50MHz</w:t>
            </w:r>
            <w:r>
              <w:rPr>
                <w:rFonts w:hint="eastAsia" w:ascii="宋体" w:hAnsi="宋体" w:cs="宋体"/>
                <w:kern w:val="0"/>
                <w:sz w:val="20"/>
                <w:szCs w:val="20"/>
              </w:rPr>
              <w:br w:type="textWrapping"/>
            </w:r>
            <w:r>
              <w:rPr>
                <w:rFonts w:hint="eastAsia" w:ascii="宋体" w:hAnsi="宋体" w:cs="宋体"/>
                <w:kern w:val="0"/>
                <w:sz w:val="20"/>
                <w:szCs w:val="20"/>
              </w:rPr>
              <w:t>最大偏移度 ±45KHz</w:t>
            </w:r>
            <w:r>
              <w:rPr>
                <w:rFonts w:hint="eastAsia" w:ascii="宋体" w:hAnsi="宋体" w:cs="宋体"/>
                <w:kern w:val="0"/>
                <w:sz w:val="20"/>
                <w:szCs w:val="20"/>
              </w:rPr>
              <w:br w:type="textWrapping"/>
            </w:r>
            <w:r>
              <w:rPr>
                <w:rFonts w:hint="eastAsia" w:ascii="宋体" w:hAnsi="宋体" w:cs="宋体"/>
                <w:kern w:val="0"/>
                <w:sz w:val="20"/>
                <w:szCs w:val="20"/>
              </w:rPr>
              <w:t>RF功率输出≥ 30mW</w:t>
            </w:r>
            <w:r>
              <w:rPr>
                <w:rFonts w:hint="eastAsia" w:ascii="宋体" w:hAnsi="宋体" w:cs="宋体"/>
                <w:kern w:val="0"/>
                <w:sz w:val="20"/>
                <w:szCs w:val="20"/>
              </w:rPr>
              <w:br w:type="textWrapping"/>
            </w:r>
            <w:r>
              <w:rPr>
                <w:rFonts w:hint="eastAsia" w:ascii="宋体" w:hAnsi="宋体" w:cs="宋体"/>
                <w:kern w:val="0"/>
                <w:sz w:val="20"/>
                <w:szCs w:val="20"/>
              </w:rPr>
              <w:t>电池 AA*2</w:t>
            </w:r>
            <w:r>
              <w:rPr>
                <w:rFonts w:hint="eastAsia" w:ascii="宋体" w:hAnsi="宋体" w:cs="宋体"/>
                <w:kern w:val="0"/>
                <w:sz w:val="20"/>
                <w:szCs w:val="20"/>
              </w:rPr>
              <w:br w:type="textWrapping"/>
            </w:r>
            <w:r>
              <w:rPr>
                <w:rFonts w:hint="eastAsia" w:ascii="宋体" w:hAnsi="宋体" w:cs="宋体"/>
                <w:kern w:val="0"/>
                <w:sz w:val="20"/>
                <w:szCs w:val="20"/>
              </w:rPr>
              <w:t>电流消耗 85mA(典型)</w:t>
            </w:r>
            <w:r>
              <w:rPr>
                <w:rFonts w:hint="eastAsia" w:ascii="宋体" w:hAnsi="宋体" w:cs="宋体"/>
                <w:kern w:val="0"/>
                <w:sz w:val="20"/>
                <w:szCs w:val="20"/>
              </w:rPr>
              <w:br w:type="textWrapping"/>
            </w:r>
            <w:r>
              <w:rPr>
                <w:rFonts w:hint="eastAsia" w:ascii="宋体" w:hAnsi="宋体" w:cs="宋体"/>
                <w:kern w:val="0"/>
                <w:sz w:val="20"/>
                <w:szCs w:val="20"/>
              </w:rPr>
              <w:t>电池耗电/寿命 约13小时左右</w:t>
            </w:r>
            <w:r>
              <w:rPr>
                <w:rFonts w:hint="eastAsia" w:ascii="宋体" w:hAnsi="宋体" w:cs="宋体"/>
                <w:kern w:val="0"/>
                <w:sz w:val="20"/>
                <w:szCs w:val="20"/>
              </w:rPr>
              <w:br w:type="textWrapping"/>
            </w:r>
            <w:r>
              <w:rPr>
                <w:rFonts w:hint="eastAsia" w:ascii="宋体" w:hAnsi="宋体" w:cs="宋体"/>
                <w:kern w:val="0"/>
                <w:sz w:val="20"/>
                <w:szCs w:val="20"/>
              </w:rPr>
              <w:t>咪管长度 340mm,420mm,（默认)，480mm</w:t>
            </w:r>
            <w:r>
              <w:rPr>
                <w:rFonts w:hint="eastAsia" w:ascii="宋体" w:hAnsi="宋体" w:cs="宋体"/>
                <w:kern w:val="0"/>
                <w:sz w:val="20"/>
                <w:szCs w:val="20"/>
              </w:rPr>
              <w:br w:type="textWrapping"/>
            </w:r>
            <w:r>
              <w:rPr>
                <w:rFonts w:hint="eastAsia" w:ascii="宋体" w:hAnsi="宋体" w:cs="宋体"/>
                <w:kern w:val="0"/>
                <w:sz w:val="20"/>
                <w:szCs w:val="20"/>
              </w:rPr>
              <w:t>重量  600g （不含电池）</w:t>
            </w:r>
          </w:p>
        </w:tc>
        <w:tc>
          <w:tcPr>
            <w:tcW w:w="5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4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套</w:t>
            </w:r>
          </w:p>
        </w:tc>
        <w:tc>
          <w:tcPr>
            <w:tcW w:w="4361" w:type="dxa"/>
            <w:vMerge w:val="restart"/>
            <w:tcBorders>
              <w:top w:val="nil"/>
              <w:left w:val="nil"/>
              <w:bottom w:val="single" w:color="auto" w:sz="4" w:space="0"/>
              <w:right w:val="single" w:color="auto" w:sz="4" w:space="0"/>
            </w:tcBorders>
            <w:shd w:val="clear" w:color="auto" w:fill="auto"/>
          </w:tcPr>
          <w:p>
            <w:pPr>
              <w:widowControl/>
              <w:jc w:val="center"/>
              <w:rPr>
                <w:rFonts w:hint="eastAsia" w:ascii="宋体" w:hAnsi="宋体" w:cs="宋体"/>
                <w:kern w:val="0"/>
                <w:sz w:val="20"/>
                <w:szCs w:val="20"/>
              </w:rPr>
            </w:pPr>
          </w:p>
        </w:tc>
      </w:tr>
      <w:tr>
        <w:tblPrEx>
          <w:tblCellMar>
            <w:top w:w="0" w:type="dxa"/>
            <w:left w:w="108" w:type="dxa"/>
            <w:bottom w:w="0" w:type="dxa"/>
            <w:right w:w="108" w:type="dxa"/>
          </w:tblCellMar>
        </w:tblPrEx>
        <w:trPr>
          <w:trHeight w:val="178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座麦</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1.阻抗：≤200Ω</w:t>
            </w:r>
            <w:r>
              <w:rPr>
                <w:rFonts w:hint="eastAsia" w:ascii="宋体" w:hAnsi="宋体" w:cs="宋体"/>
                <w:kern w:val="0"/>
                <w:sz w:val="20"/>
                <w:szCs w:val="20"/>
              </w:rPr>
              <w:br w:type="textWrapping"/>
            </w:r>
            <w:r>
              <w:rPr>
                <w:rFonts w:hint="eastAsia" w:ascii="宋体" w:hAnsi="宋体" w:cs="宋体"/>
                <w:kern w:val="0"/>
                <w:sz w:val="20"/>
                <w:szCs w:val="20"/>
              </w:rPr>
              <w:t>2.灵敏度：-32dB±3dB</w:t>
            </w:r>
            <w:r>
              <w:rPr>
                <w:rFonts w:hint="eastAsia" w:ascii="宋体" w:hAnsi="宋体" w:cs="宋体"/>
                <w:kern w:val="0"/>
                <w:sz w:val="20"/>
                <w:szCs w:val="20"/>
              </w:rPr>
              <w:br w:type="textWrapping"/>
            </w:r>
            <w:r>
              <w:rPr>
                <w:rFonts w:hint="eastAsia" w:ascii="宋体" w:hAnsi="宋体" w:cs="宋体"/>
                <w:kern w:val="0"/>
                <w:sz w:val="20"/>
                <w:szCs w:val="20"/>
              </w:rPr>
              <w:t>3.频率响应:40～16500Hz</w:t>
            </w:r>
            <w:r>
              <w:rPr>
                <w:rFonts w:hint="eastAsia" w:ascii="宋体" w:hAnsi="宋体" w:cs="宋体"/>
                <w:kern w:val="0"/>
                <w:sz w:val="20"/>
                <w:szCs w:val="20"/>
              </w:rPr>
              <w:br w:type="textWrapping"/>
            </w:r>
            <w:r>
              <w:rPr>
                <w:rFonts w:hint="eastAsia" w:ascii="宋体" w:hAnsi="宋体" w:cs="宋体"/>
                <w:kern w:val="0"/>
                <w:sz w:val="20"/>
                <w:szCs w:val="20"/>
              </w:rPr>
              <w:t>4.电源:DC9V</w:t>
            </w:r>
            <w:r>
              <w:rPr>
                <w:rFonts w:hint="eastAsia" w:ascii="宋体" w:hAnsi="宋体" w:cs="宋体"/>
                <w:kern w:val="0"/>
                <w:sz w:val="20"/>
                <w:szCs w:val="20"/>
              </w:rPr>
              <w:br w:type="textWrapping"/>
            </w:r>
            <w:r>
              <w:rPr>
                <w:rFonts w:hint="eastAsia" w:ascii="宋体" w:hAnsi="宋体" w:cs="宋体"/>
                <w:kern w:val="0"/>
                <w:sz w:val="20"/>
                <w:szCs w:val="20"/>
              </w:rPr>
              <w:t>5.尺寸:150*400mm</w:t>
            </w:r>
            <w:r>
              <w:rPr>
                <w:rFonts w:hint="eastAsia" w:ascii="宋体" w:hAnsi="宋体" w:cs="宋体"/>
                <w:kern w:val="0"/>
                <w:sz w:val="20"/>
                <w:szCs w:val="20"/>
              </w:rPr>
              <w:br w:type="textWrapping"/>
            </w:r>
            <w:r>
              <w:rPr>
                <w:rFonts w:hint="eastAsia" w:ascii="宋体" w:hAnsi="宋体" w:cs="宋体"/>
                <w:kern w:val="0"/>
                <w:sz w:val="20"/>
                <w:szCs w:val="20"/>
              </w:rPr>
              <w:t>6.重量:1.1Kg</w:t>
            </w:r>
            <w:r>
              <w:rPr>
                <w:rFonts w:hint="eastAsia" w:ascii="宋体" w:hAnsi="宋体" w:cs="宋体"/>
                <w:kern w:val="0"/>
                <w:sz w:val="20"/>
                <w:szCs w:val="20"/>
              </w:rPr>
              <w:br w:type="textWrapping"/>
            </w:r>
            <w:r>
              <w:rPr>
                <w:rFonts w:hint="eastAsia" w:ascii="宋体" w:hAnsi="宋体" w:cs="宋体"/>
                <w:kern w:val="0"/>
                <w:sz w:val="20"/>
                <w:szCs w:val="20"/>
              </w:rPr>
              <w:t>7.不带钟声提示</w:t>
            </w:r>
          </w:p>
        </w:tc>
        <w:tc>
          <w:tcPr>
            <w:tcW w:w="5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w:t>
            </w:r>
          </w:p>
        </w:tc>
        <w:tc>
          <w:tcPr>
            <w:tcW w:w="4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套</w:t>
            </w:r>
          </w:p>
        </w:tc>
        <w:tc>
          <w:tcPr>
            <w:tcW w:w="4361" w:type="dxa"/>
            <w:vMerge w:val="continue"/>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1590"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电源时序器</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 电力输入条件(单相3线)；AC90-260V 50-60HZ两相（三线：零，火，地）                                                                                                                                                                                                                    </w:t>
            </w:r>
          </w:p>
        </w:tc>
        <w:tc>
          <w:tcPr>
            <w:tcW w:w="5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4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台</w:t>
            </w:r>
          </w:p>
        </w:tc>
        <w:tc>
          <w:tcPr>
            <w:tcW w:w="4361"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kern w:val="0"/>
                <w:sz w:val="20"/>
                <w:szCs w:val="20"/>
              </w:rPr>
            </w:pPr>
            <w:r>
              <w:rPr>
                <w:rFonts w:hint="eastAsia" w:ascii="宋体" w:hAnsi="宋体" w:cs="宋体"/>
                <w:kern w:val="0"/>
                <w:sz w:val="20"/>
                <w:szCs w:val="20"/>
              </w:rPr>
              <w:drawing>
                <wp:anchor distT="0" distB="0" distL="114300" distR="114300" simplePos="0" relativeHeight="251661312" behindDoc="0" locked="0" layoutInCell="1" allowOverlap="1">
                  <wp:simplePos x="0" y="0"/>
                  <wp:positionH relativeFrom="column">
                    <wp:posOffset>542925</wp:posOffset>
                  </wp:positionH>
                  <wp:positionV relativeFrom="paragraph">
                    <wp:posOffset>-1384300</wp:posOffset>
                  </wp:positionV>
                  <wp:extent cx="733425" cy="1152525"/>
                  <wp:effectExtent l="0" t="0" r="0" b="952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cstate="print"/>
                          <a:stretch>
                            <a:fillRect/>
                          </a:stretch>
                        </pic:blipFill>
                        <pic:spPr>
                          <a:xfrm>
                            <a:off x="0" y="0"/>
                            <a:ext cx="733425" cy="1152525"/>
                          </a:xfrm>
                          <a:prstGeom prst="rect">
                            <a:avLst/>
                          </a:prstGeom>
                          <a:noFill/>
                          <a:ln w="9525">
                            <a:noFill/>
                          </a:ln>
                        </pic:spPr>
                      </pic:pic>
                    </a:graphicData>
                  </a:graphic>
                </wp:anchor>
              </w:drawing>
            </w:r>
          </w:p>
        </w:tc>
      </w:tr>
      <w:tr>
        <w:tblPrEx>
          <w:tblCellMar>
            <w:top w:w="0" w:type="dxa"/>
            <w:left w:w="108" w:type="dxa"/>
            <w:bottom w:w="0" w:type="dxa"/>
            <w:right w:w="108" w:type="dxa"/>
          </w:tblCellMar>
        </w:tblPrEx>
        <w:trPr>
          <w:trHeight w:val="184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航空机柜</w:t>
            </w:r>
          </w:p>
        </w:tc>
        <w:tc>
          <w:tcPr>
            <w:tcW w:w="4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国标 分上下两层，机盖可拼成操作台面</w:t>
            </w:r>
          </w:p>
        </w:tc>
        <w:tc>
          <w:tcPr>
            <w:tcW w:w="5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4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台</w:t>
            </w:r>
          </w:p>
        </w:tc>
        <w:tc>
          <w:tcPr>
            <w:tcW w:w="4361" w:type="dxa"/>
            <w:tcBorders>
              <w:top w:val="nil"/>
              <w:left w:val="nil"/>
              <w:bottom w:val="single" w:color="auto" w:sz="4" w:space="0"/>
              <w:right w:val="single" w:color="auto" w:sz="4" w:space="0"/>
            </w:tcBorders>
            <w:shd w:val="clear" w:color="auto" w:fill="auto"/>
          </w:tcPr>
          <w:p>
            <w:pPr>
              <w:widowControl/>
              <w:jc w:val="left"/>
              <w:rPr>
                <w:rFonts w:hint="eastAsia" w:ascii="宋体" w:hAnsi="宋体" w:cs="宋体"/>
                <w:kern w:val="0"/>
                <w:sz w:val="20"/>
                <w:szCs w:val="20"/>
              </w:rPr>
            </w:pPr>
            <w:r>
              <w:rPr>
                <w:rFonts w:hint="eastAsia" w:ascii="宋体" w:hAnsi="宋体" w:cs="宋体"/>
                <w:kern w:val="0"/>
                <w:sz w:val="20"/>
                <w:szCs w:val="20"/>
              </w:rPr>
              <w:drawing>
                <wp:anchor distT="0" distB="0" distL="114300" distR="114300" simplePos="0" relativeHeight="251660288" behindDoc="0" locked="0" layoutInCell="1" allowOverlap="1">
                  <wp:simplePos x="0" y="0"/>
                  <wp:positionH relativeFrom="column">
                    <wp:posOffset>333375</wp:posOffset>
                  </wp:positionH>
                  <wp:positionV relativeFrom="paragraph">
                    <wp:posOffset>66675</wp:posOffset>
                  </wp:positionV>
                  <wp:extent cx="1247775" cy="9906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stretch>
                            <a:fillRect/>
                          </a:stretch>
                        </pic:blipFill>
                        <pic:spPr>
                          <a:xfrm>
                            <a:off x="0" y="0"/>
                            <a:ext cx="1252844" cy="997936"/>
                          </a:xfrm>
                          <a:prstGeom prst="rect">
                            <a:avLst/>
                          </a:prstGeom>
                        </pic:spPr>
                      </pic:pic>
                    </a:graphicData>
                  </a:graphic>
                </wp:anchor>
              </w:drawing>
            </w:r>
          </w:p>
        </w:tc>
      </w:tr>
      <w:tr>
        <w:tblPrEx>
          <w:tblCellMar>
            <w:top w:w="0" w:type="dxa"/>
            <w:left w:w="108" w:type="dxa"/>
            <w:bottom w:w="0" w:type="dxa"/>
            <w:right w:w="108" w:type="dxa"/>
          </w:tblCellMar>
        </w:tblPrEx>
        <w:trPr>
          <w:trHeight w:val="67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线材配件</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国标音箱护套线2*2.5平方，设备连接线</w:t>
            </w:r>
          </w:p>
        </w:tc>
        <w:tc>
          <w:tcPr>
            <w:tcW w:w="5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4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项</w:t>
            </w:r>
          </w:p>
        </w:tc>
        <w:tc>
          <w:tcPr>
            <w:tcW w:w="4361" w:type="dxa"/>
            <w:tcBorders>
              <w:top w:val="nil"/>
              <w:left w:val="nil"/>
              <w:bottom w:val="single" w:color="auto" w:sz="4" w:space="0"/>
              <w:right w:val="single" w:color="auto" w:sz="4" w:space="0"/>
            </w:tcBorders>
            <w:shd w:val="clear" w:color="auto" w:fill="auto"/>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bl>
    <w:p>
      <w:pPr>
        <w:spacing w:line="360" w:lineRule="auto"/>
        <w:rPr>
          <w:rFonts w:hint="eastAsia" w:ascii="宋体" w:hAnsi="宋体" w:cs="宋体"/>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2970781"/>
      <w:docPartObj>
        <w:docPartGallery w:val="autotext"/>
      </w:docPartObj>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B3037"/>
    <w:multiLevelType w:val="singleLevel"/>
    <w:tmpl w:val="679B303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075"/>
    <w:rsid w:val="000506CD"/>
    <w:rsid w:val="000651CF"/>
    <w:rsid w:val="000A2508"/>
    <w:rsid w:val="0014460E"/>
    <w:rsid w:val="00174F41"/>
    <w:rsid w:val="0019387B"/>
    <w:rsid w:val="0019749C"/>
    <w:rsid w:val="001B5075"/>
    <w:rsid w:val="001F754C"/>
    <w:rsid w:val="00225980"/>
    <w:rsid w:val="00234BB6"/>
    <w:rsid w:val="00257E5B"/>
    <w:rsid w:val="002D7F63"/>
    <w:rsid w:val="003249EC"/>
    <w:rsid w:val="00332E7E"/>
    <w:rsid w:val="003434BC"/>
    <w:rsid w:val="00350F45"/>
    <w:rsid w:val="0039229A"/>
    <w:rsid w:val="003C306D"/>
    <w:rsid w:val="00431A3D"/>
    <w:rsid w:val="00446287"/>
    <w:rsid w:val="004513E8"/>
    <w:rsid w:val="004C1EAC"/>
    <w:rsid w:val="005235CB"/>
    <w:rsid w:val="00535DC6"/>
    <w:rsid w:val="00581616"/>
    <w:rsid w:val="005A3298"/>
    <w:rsid w:val="006317D9"/>
    <w:rsid w:val="006348E9"/>
    <w:rsid w:val="00645D5B"/>
    <w:rsid w:val="006533A3"/>
    <w:rsid w:val="006769AE"/>
    <w:rsid w:val="00775684"/>
    <w:rsid w:val="007F71EA"/>
    <w:rsid w:val="008069D3"/>
    <w:rsid w:val="00884D05"/>
    <w:rsid w:val="008A5EE8"/>
    <w:rsid w:val="00933025"/>
    <w:rsid w:val="009741FF"/>
    <w:rsid w:val="009A7FDA"/>
    <w:rsid w:val="009B1BB3"/>
    <w:rsid w:val="009B3A78"/>
    <w:rsid w:val="00A115D8"/>
    <w:rsid w:val="00A65913"/>
    <w:rsid w:val="00A7514A"/>
    <w:rsid w:val="00AE1160"/>
    <w:rsid w:val="00AF13BE"/>
    <w:rsid w:val="00B0197F"/>
    <w:rsid w:val="00B57816"/>
    <w:rsid w:val="00B73786"/>
    <w:rsid w:val="00BC4D8C"/>
    <w:rsid w:val="00C32126"/>
    <w:rsid w:val="00C77291"/>
    <w:rsid w:val="00CB4DE9"/>
    <w:rsid w:val="00D207D5"/>
    <w:rsid w:val="00D247F8"/>
    <w:rsid w:val="00DA1096"/>
    <w:rsid w:val="00E36FA4"/>
    <w:rsid w:val="00E424B4"/>
    <w:rsid w:val="00E512D3"/>
    <w:rsid w:val="00E7696D"/>
    <w:rsid w:val="00EE0174"/>
    <w:rsid w:val="00F115E6"/>
    <w:rsid w:val="00F34D5B"/>
    <w:rsid w:val="00F70FED"/>
    <w:rsid w:val="00FE137D"/>
    <w:rsid w:val="03170315"/>
    <w:rsid w:val="049806A8"/>
    <w:rsid w:val="05823BC4"/>
    <w:rsid w:val="08DB0835"/>
    <w:rsid w:val="096E7FAC"/>
    <w:rsid w:val="147A0E0D"/>
    <w:rsid w:val="1A165B79"/>
    <w:rsid w:val="24302A1C"/>
    <w:rsid w:val="250259AC"/>
    <w:rsid w:val="2CC556C9"/>
    <w:rsid w:val="36EE48AB"/>
    <w:rsid w:val="39D96680"/>
    <w:rsid w:val="400868E8"/>
    <w:rsid w:val="410777DB"/>
    <w:rsid w:val="41796364"/>
    <w:rsid w:val="462F47B9"/>
    <w:rsid w:val="4A3D3A81"/>
    <w:rsid w:val="4A8C656D"/>
    <w:rsid w:val="51297820"/>
    <w:rsid w:val="53B94759"/>
    <w:rsid w:val="597864E4"/>
    <w:rsid w:val="5BBE128F"/>
    <w:rsid w:val="62C631B6"/>
    <w:rsid w:val="78862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6"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link w:val="13"/>
    <w:qFormat/>
    <w:uiPriority w:val="6"/>
    <w:pPr>
      <w:spacing w:after="120"/>
    </w:pPr>
    <w:rPr>
      <w:kern w:val="1"/>
    </w:rPr>
  </w:style>
  <w:style w:type="paragraph" w:styleId="4">
    <w:name w:val="Balloon Text"/>
    <w:basedOn w:val="1"/>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character" w:customStyle="1" w:styleId="10">
    <w:name w:val="页眉 Char"/>
    <w:basedOn w:val="9"/>
    <w:link w:val="6"/>
    <w:qFormat/>
    <w:uiPriority w:val="0"/>
    <w:rPr>
      <w:rFonts w:ascii="Calibri" w:hAnsi="Calibri"/>
      <w:kern w:val="2"/>
      <w:sz w:val="18"/>
      <w:szCs w:val="18"/>
    </w:rPr>
  </w:style>
  <w:style w:type="character" w:customStyle="1" w:styleId="11">
    <w:name w:val="页脚 Char"/>
    <w:basedOn w:val="9"/>
    <w:link w:val="5"/>
    <w:qFormat/>
    <w:uiPriority w:val="99"/>
    <w:rPr>
      <w:rFonts w:ascii="Calibri" w:hAnsi="Calibri"/>
      <w:kern w:val="2"/>
      <w:sz w:val="18"/>
      <w:szCs w:val="18"/>
    </w:rPr>
  </w:style>
  <w:style w:type="character" w:customStyle="1" w:styleId="12">
    <w:name w:val="NormalCharacter"/>
    <w:qFormat/>
    <w:uiPriority w:val="0"/>
    <w:rPr>
      <w:rFonts w:ascii="Times New Roman" w:hAnsi="Times New Roman" w:eastAsia="宋体"/>
    </w:rPr>
  </w:style>
  <w:style w:type="character" w:customStyle="1" w:styleId="13">
    <w:name w:val="正文文本 Char"/>
    <w:basedOn w:val="9"/>
    <w:link w:val="3"/>
    <w:uiPriority w:val="6"/>
    <w:rPr>
      <w:rFonts w:ascii="Calibri" w:hAnsi="Calibri"/>
      <w:kern w:val="1"/>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1</Pages>
  <Words>646</Words>
  <Characters>3684</Characters>
  <Lines>30</Lines>
  <Paragraphs>8</Paragraphs>
  <TotalTime>70</TotalTime>
  <ScaleCrop>false</ScaleCrop>
  <LinksUpToDate>false</LinksUpToDate>
  <CharactersWithSpaces>4322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2021-11-08T02:00:00Z</dcterms:created>
  <dc:creator>Administrator</dc:creator>
  <cp:lastModifiedBy>CYN</cp:lastModifiedBy>
  <dcterms:modified xsi:type="dcterms:W3CDTF">2021-11-30T01:04:38Z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A45C798CE1944B7F8E537BB0129D18E0</vt:lpwstr>
  </property>
</Properties>
</file>