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hint="eastAsia" w:ascii="宋体" w:hAnsi="宋体" w:cs="宋体"/>
          <w:b/>
          <w:bCs/>
          <w:sz w:val="24"/>
        </w:rPr>
      </w:pPr>
      <w:r>
        <w:rPr>
          <w:rFonts w:hint="eastAsia" w:ascii="宋体" w:hAnsi="宋体" w:cs="宋体"/>
          <w:b/>
          <w:bCs/>
          <w:sz w:val="24"/>
        </w:rPr>
        <w:t>询价公告-福建商学院会议室音响改造改造项目</w:t>
      </w:r>
    </w:p>
    <w:p>
      <w:pPr>
        <w:rPr>
          <w:rFonts w:hint="eastAsia" w:ascii="宋体" w:hAnsi="宋体" w:cs="宋体"/>
          <w:b/>
          <w:bCs/>
          <w:sz w:val="24"/>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项目名称：福建商学院会议室音响改造改造项目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2、项目概况及采购内容：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eastAsia="zh-CN"/>
        </w:rPr>
        <w:t>福建商学院会议室音响改造项目，具体改造内容详见附件（询价公告网页左下方附件链接下载）。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项目预算：</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265"/>
        <w:gridCol w:w="1890"/>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合同包</w:t>
            </w:r>
          </w:p>
        </w:tc>
        <w:tc>
          <w:tcPr>
            <w:tcW w:w="103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品目号</w:t>
            </w:r>
          </w:p>
        </w:tc>
        <w:tc>
          <w:tcPr>
            <w:tcW w:w="226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品目名称</w:t>
            </w:r>
          </w:p>
        </w:tc>
        <w:tc>
          <w:tcPr>
            <w:tcW w:w="189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主要参数要求</w:t>
            </w:r>
          </w:p>
        </w:tc>
        <w:tc>
          <w:tcPr>
            <w:tcW w:w="84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142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最高限价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3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26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会议室音响改造</w:t>
            </w:r>
          </w:p>
        </w:tc>
        <w:tc>
          <w:tcPr>
            <w:tcW w:w="189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详见附件</w:t>
            </w:r>
          </w:p>
        </w:tc>
        <w:tc>
          <w:tcPr>
            <w:tcW w:w="845"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1批</w:t>
            </w:r>
          </w:p>
        </w:tc>
        <w:tc>
          <w:tcPr>
            <w:tcW w:w="142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cs="宋体"/>
                <w:sz w:val="24"/>
                <w:szCs w:val="24"/>
                <w:lang w:val="en-US" w:eastAsia="zh-CN"/>
              </w:rPr>
              <w:t>29500</w:t>
            </w:r>
            <w:r>
              <w:rPr>
                <w:rFonts w:hint="eastAsia" w:ascii="宋体" w:hAnsi="宋体" w:eastAsia="宋体" w:cs="宋体"/>
                <w:sz w:val="24"/>
                <w:szCs w:val="24"/>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总金额包含税收、产品、装卸、安装备件及材料、专用工具、安装、调试、人工、检验、运输和保险等项目相关的一切费用；投标按单价、总价报价，超过最高限价的投标无效</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、报价单位资格要求：须具备独立承担民事责任能力的中华人民共和国境内注册的法人，且有能力履行本项目所必须的设备和专业技术能力。并提交以下资质证明文件：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（1）营业执照副本复印件（或三证合一营业执照）；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（2）税务登记证副本复印件；（如果是三证合一营业执照无需提供）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 组织机构代码证复印件；（如果是三证合一营业执照无需提供）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（4）法定代表人及投标人代表的有效身份证明复印件；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（5）法定代表人授权书原件(报价代表是法定代表人无需)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项目要求：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（1）该项目为维修、增加、更换设备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连江校区明德楼视频会议室主要更换会议音频处理器、功放、调音台，维修麦克风，整理线路。原本的设备为海天品牌，麦克风的型号  HTDZ/海天 HT-9553Ud。要求：中标方要提供合适音响设备与原本的品牌衔接。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马尾校区专家楼第一会议室、连江校区明德楼视频会议室是增加设备和更换设备。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（2）中标方要负责三个会议室的新设备与旧设备调试，保证设备可以正常使用。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（3）改造过程不得影响其他物品、设备、装置、电路等一切原先存在且与改造无关的部分，如造成损坏由中标方负责；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（4）改造过程中需做好相关安全措施，如发生一切安全问题由中标方自行负责。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（5） </w:t>
      </w:r>
      <w:r>
        <w:rPr>
          <w:rFonts w:hint="eastAsia" w:ascii="宋体" w:hAnsi="宋体" w:eastAsia="宋体" w:cs="宋体"/>
          <w:sz w:val="24"/>
          <w:szCs w:val="24"/>
        </w:rPr>
        <w:t>中标人负责组织专业技术人员进行货物安装，保证各项安装工作顺利进行</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6、技术参数及要求：详见附件（询价公告网页左下方附件链接下载）。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、质量要求和技术标准：所提供的货物必须是原厂生产的、全新的、未使用过的（包括零部件），并符合原厂质量检测标准（以说明书为准）和国家质量检测标准，且满足校方招标质量规格和性能要求。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、交货时间：合同签订后</w:t>
      </w:r>
      <w:r>
        <w:rPr>
          <w:rFonts w:hint="eastAsia" w:ascii="宋体" w:hAnsi="宋体" w:cs="宋体"/>
          <w:sz w:val="24"/>
          <w:szCs w:val="24"/>
          <w:lang w:val="en-US" w:eastAsia="zh-CN"/>
        </w:rPr>
        <w:t>15</w:t>
      </w:r>
      <w:r>
        <w:rPr>
          <w:rFonts w:hint="eastAsia" w:ascii="宋体" w:hAnsi="宋体" w:eastAsia="宋体" w:cs="宋体"/>
          <w:sz w:val="24"/>
          <w:szCs w:val="24"/>
        </w:rPr>
        <w:t>天内</w:t>
      </w:r>
      <w:r>
        <w:rPr>
          <w:rFonts w:hint="eastAsia" w:ascii="宋体" w:hAnsi="宋体" w:cs="宋体"/>
          <w:sz w:val="24"/>
          <w:szCs w:val="24"/>
          <w:lang w:eastAsia="zh-CN"/>
        </w:rPr>
        <w:t>安装调试</w:t>
      </w:r>
      <w:r>
        <w:rPr>
          <w:rFonts w:hint="eastAsia" w:ascii="宋体" w:hAnsi="宋体" w:eastAsia="宋体" w:cs="宋体"/>
          <w:sz w:val="24"/>
          <w:szCs w:val="24"/>
        </w:rPr>
        <w:t>验收合格交付</w:t>
      </w:r>
      <w:r>
        <w:rPr>
          <w:rFonts w:hint="eastAsia" w:ascii="宋体" w:hAnsi="宋体" w:cs="宋体"/>
          <w:sz w:val="24"/>
          <w:szCs w:val="24"/>
          <w:lang w:eastAsia="zh-CN"/>
        </w:rPr>
        <w:t>正常</w:t>
      </w:r>
      <w:r>
        <w:rPr>
          <w:rFonts w:hint="eastAsia" w:ascii="宋体" w:hAnsi="宋体" w:eastAsia="宋体" w:cs="宋体"/>
          <w:sz w:val="24"/>
          <w:szCs w:val="24"/>
        </w:rPr>
        <w:t>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、交货地点：福建商学院连江校区明德楼视频会议室、学生活动礼堂，马尾校区专家楼第一会议室；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rPr>
        <w:t>、售后服务承诺基本要求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保证所提供的货物是全新的、未使用过的原装品牌设备，在各个方面符合规定的质量、规格和性能要求。保证货物经过正确安装、合理操作和维护保养，在货物寿命期内运转良好。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质保期：</w:t>
      </w:r>
      <w:r>
        <w:rPr>
          <w:rFonts w:hint="eastAsia" w:ascii="宋体" w:hAnsi="宋体" w:eastAsia="宋体" w:cs="宋体"/>
          <w:sz w:val="24"/>
          <w:szCs w:val="24"/>
        </w:rPr>
        <w:t>货物安装调试验收合格交付正常使用之日起1年；供应商提供设备1年免费上门维修，长期维护。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维修服务的响应时间：所有设备提供1年免费上门维修，保修期内如有故障，接到电话后6小时内响应，48小时内维修到位。质保期后，供应商提供设备优惠维修服务。</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1</w:t>
      </w:r>
      <w:r>
        <w:rPr>
          <w:rFonts w:hint="eastAsia" w:ascii="宋体" w:hAnsi="宋体" w:eastAsia="宋体" w:cs="宋体"/>
          <w:sz w:val="24"/>
          <w:szCs w:val="24"/>
        </w:rPr>
        <w:t>、付款方式：</w:t>
      </w:r>
      <w:r>
        <w:rPr>
          <w:rFonts w:hint="eastAsia" w:ascii="宋体" w:hAnsi="宋体" w:eastAsia="宋体" w:cs="宋体"/>
          <w:b w:val="0"/>
          <w:bCs w:val="0"/>
          <w:color w:val="000000" w:themeColor="text1"/>
          <w:sz w:val="24"/>
          <w:szCs w:val="24"/>
          <w14:textFill>
            <w14:solidFill>
              <w14:schemeClr w14:val="tx1"/>
            </w14:solidFill>
          </w14:textFill>
        </w:rPr>
        <w:t>项目完成经验收合格</w:t>
      </w:r>
      <w:r>
        <w:rPr>
          <w:rFonts w:hint="eastAsia" w:ascii="宋体" w:hAnsi="宋体" w:cs="宋体"/>
          <w:b w:val="0"/>
          <w:bCs w:val="0"/>
          <w:color w:val="000000" w:themeColor="text1"/>
          <w:sz w:val="24"/>
          <w:szCs w:val="24"/>
          <w:lang w:eastAsia="zh-CN"/>
          <w14:textFill>
            <w14:solidFill>
              <w14:schemeClr w14:val="tx1"/>
            </w14:solidFill>
          </w14:textFill>
        </w:rPr>
        <w:t>交付正常使用</w:t>
      </w:r>
      <w:r>
        <w:rPr>
          <w:rFonts w:hint="eastAsia" w:ascii="宋体" w:hAnsi="宋体" w:eastAsia="宋体" w:cs="宋体"/>
          <w:b w:val="0"/>
          <w:bCs w:val="0"/>
          <w:color w:val="000000" w:themeColor="text1"/>
          <w:sz w:val="24"/>
          <w:szCs w:val="24"/>
          <w14:textFill>
            <w14:solidFill>
              <w14:schemeClr w14:val="tx1"/>
            </w14:solidFill>
          </w14:textFill>
        </w:rPr>
        <w:t>后，凭验收合格文件等材料以转账方式支付100%的货物价款。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2</w:t>
      </w:r>
      <w:r>
        <w:rPr>
          <w:rFonts w:hint="eastAsia" w:ascii="宋体" w:hAnsi="宋体" w:eastAsia="宋体" w:cs="宋体"/>
          <w:sz w:val="24"/>
          <w:szCs w:val="24"/>
        </w:rPr>
        <w:t>、验收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（1）提供完整的技术资料，包括：出厂检验报告和合格证书、使用说明书、设备安装调试资料、操作手册、维修手册及合同中要求的其他文件资料。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eastAsia="宋体" w:cs="宋体"/>
          <w:sz w:val="24"/>
          <w:szCs w:val="24"/>
        </w:rPr>
        <w:t>改造完成后根据询价文件及合同中所列清单与技术参数要求进行验收。项目交付正常使用后，由中标单位书面提出验收申请，经使用单位组织验收人员进行验收。验收结果经双方确认后，双方授权代表人必须按规定的验收交接单上的项目对照本合同填好验收结果并签名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请各报价单位按以上询价公告所有条款要求内容及附件清单</w:t>
      </w:r>
      <w:r>
        <w:rPr>
          <w:rFonts w:hint="eastAsia" w:ascii="宋体" w:hAnsi="宋体" w:eastAsia="宋体" w:cs="宋体"/>
          <w:sz w:val="24"/>
          <w:szCs w:val="24"/>
          <w:lang w:eastAsia="zh-CN"/>
        </w:rPr>
        <w:t>内容逐条</w:t>
      </w:r>
      <w:r>
        <w:rPr>
          <w:rFonts w:hint="eastAsia" w:ascii="宋体" w:hAnsi="宋体" w:eastAsia="宋体" w:cs="宋体"/>
          <w:sz w:val="24"/>
          <w:szCs w:val="24"/>
        </w:rPr>
        <w:t>响应提交承诺函、报价表（按单价、总价报价）、营业执照、资格证书等相关证明材料复印件，并加盖公章。于202</w:t>
      </w:r>
      <w:r>
        <w:rPr>
          <w:rFonts w:hint="eastAsia" w:ascii="宋体" w:hAnsi="宋体" w:cs="宋体"/>
          <w:sz w:val="24"/>
          <w:szCs w:val="24"/>
          <w:lang w:val="en-US" w:eastAsia="zh-CN"/>
        </w:rPr>
        <w:t>2</w:t>
      </w:r>
      <w:r>
        <w:rPr>
          <w:rFonts w:hint="eastAsia" w:ascii="宋体" w:hAnsi="宋体" w:eastAsia="宋体" w:cs="宋体"/>
          <w:sz w:val="24"/>
          <w:szCs w:val="24"/>
        </w:rPr>
        <w:t>年</w:t>
      </w:r>
      <w:r>
        <w:rPr>
          <w:rFonts w:hint="eastAsia" w:ascii="宋体" w:hAnsi="宋体" w:cs="宋体"/>
          <w:sz w:val="24"/>
          <w:szCs w:val="24"/>
          <w:lang w:val="en-US" w:eastAsia="zh-CN"/>
        </w:rPr>
        <w:t>5</w:t>
      </w:r>
      <w:r>
        <w:rPr>
          <w:rFonts w:hint="eastAsia" w:ascii="宋体" w:hAnsi="宋体" w:eastAsia="宋体" w:cs="宋体"/>
          <w:sz w:val="24"/>
          <w:szCs w:val="24"/>
        </w:rPr>
        <w:t>月</w:t>
      </w:r>
      <w:r>
        <w:rPr>
          <w:rFonts w:hint="eastAsia" w:ascii="宋体" w:hAnsi="宋体" w:cs="宋体"/>
          <w:sz w:val="24"/>
          <w:szCs w:val="24"/>
          <w:lang w:val="en-US" w:eastAsia="zh-CN"/>
        </w:rPr>
        <w:t>6</w:t>
      </w:r>
      <w:r>
        <w:rPr>
          <w:rFonts w:hint="eastAsia" w:ascii="宋体" w:hAnsi="宋体" w:eastAsia="宋体" w:cs="宋体"/>
          <w:sz w:val="24"/>
          <w:szCs w:val="24"/>
        </w:rPr>
        <w:t>日下午16：00前准时将项目报价文件及资格证明材料密封后以顺丰快递的方式快递送达至福州市连江县潘渡乡连潘路2号福建商学院连江校区320室，联系人：陈老师，电话：</w:t>
      </w:r>
      <w:r>
        <w:rPr>
          <w:rFonts w:hint="eastAsia" w:ascii="宋体" w:hAnsi="宋体" w:cs="宋体"/>
          <w:sz w:val="24"/>
          <w:szCs w:val="24"/>
          <w:lang w:val="en-US" w:eastAsia="zh-CN"/>
        </w:rPr>
        <w:t>0591-26298150</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6720" w:hanging="6720" w:hangingChars="2800"/>
        <w:textAlignment w:val="auto"/>
        <w:rPr>
          <w:rFonts w:hint="eastAsia" w:ascii="宋体" w:hAnsi="宋体" w:eastAsia="宋体" w:cs="宋体"/>
          <w:sz w:val="24"/>
          <w:szCs w:val="24"/>
        </w:rPr>
      </w:pPr>
      <w:r>
        <w:rPr>
          <w:rFonts w:hint="eastAsia" w:ascii="宋体" w:hAnsi="宋体" w:eastAsia="宋体" w:cs="宋体"/>
          <w:sz w:val="24"/>
          <w:szCs w:val="24"/>
        </w:rPr>
        <w:t xml:space="preserve">                                                        福建商学院</w:t>
      </w:r>
    </w:p>
    <w:p>
      <w:pPr>
        <w:keepNext w:val="0"/>
        <w:keepLines w:val="0"/>
        <w:pageBreakBefore w:val="0"/>
        <w:widowControl w:val="0"/>
        <w:kinsoku/>
        <w:wordWrap/>
        <w:overflowPunct/>
        <w:topLinePunct w:val="0"/>
        <w:autoSpaceDE/>
        <w:autoSpaceDN/>
        <w:bidi w:val="0"/>
        <w:adjustRightInd/>
        <w:snapToGrid/>
        <w:spacing w:line="360" w:lineRule="auto"/>
        <w:ind w:left="6704" w:leftChars="2964"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cs="宋体"/>
          <w:sz w:val="24"/>
          <w:szCs w:val="24"/>
          <w:lang w:val="en-US" w:eastAsia="zh-CN"/>
        </w:rPr>
        <w:t>2</w:t>
      </w:r>
      <w:r>
        <w:rPr>
          <w:rFonts w:hint="eastAsia" w:ascii="宋体" w:hAnsi="宋体" w:eastAsia="宋体" w:cs="宋体"/>
          <w:sz w:val="24"/>
          <w:szCs w:val="24"/>
        </w:rPr>
        <w:t>年</w:t>
      </w:r>
      <w:r>
        <w:rPr>
          <w:rFonts w:hint="eastAsia" w:ascii="宋体" w:hAnsi="宋体" w:cs="宋体"/>
          <w:sz w:val="24"/>
          <w:szCs w:val="24"/>
          <w:lang w:val="en-US" w:eastAsia="zh-CN"/>
        </w:rPr>
        <w:t>4</w:t>
      </w:r>
      <w:r>
        <w:rPr>
          <w:rFonts w:hint="eastAsia" w:ascii="宋体" w:hAnsi="宋体" w:eastAsia="宋体" w:cs="宋体"/>
          <w:sz w:val="24"/>
          <w:szCs w:val="24"/>
        </w:rPr>
        <w:t>月</w:t>
      </w:r>
      <w:r>
        <w:rPr>
          <w:rFonts w:hint="eastAsia" w:ascii="宋体" w:hAnsi="宋体" w:cs="宋体"/>
          <w:sz w:val="24"/>
          <w:szCs w:val="24"/>
          <w:lang w:val="en-US" w:eastAsia="zh-CN"/>
        </w:rPr>
        <w:t>26</w:t>
      </w:r>
      <w:r>
        <w:rPr>
          <w:rFonts w:hint="eastAsia" w:ascii="宋体" w:hAnsi="宋体" w:eastAsia="宋体" w:cs="宋体"/>
          <w:sz w:val="24"/>
          <w:szCs w:val="24"/>
        </w:rPr>
        <w:t>日</w:t>
      </w: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r>
        <w:rPr>
          <w:rFonts w:hint="eastAsia" w:ascii="宋体" w:hAnsi="宋体" w:cs="宋体"/>
          <w:color w:val="3A3A3A"/>
          <w:kern w:val="0"/>
          <w:sz w:val="24"/>
          <w:szCs w:val="24"/>
        </w:rPr>
        <w:t>附件</w:t>
      </w:r>
      <w:r>
        <w:rPr>
          <w:rFonts w:hint="eastAsia" w:ascii="宋体" w:hAnsi="宋体" w:cs="宋体"/>
          <w:color w:val="3A3A3A"/>
          <w:kern w:val="0"/>
          <w:sz w:val="24"/>
          <w:szCs w:val="24"/>
          <w:lang w:val="en-US" w:eastAsia="zh-CN"/>
        </w:rPr>
        <w:t>1</w:t>
      </w:r>
      <w:r>
        <w:rPr>
          <w:rFonts w:hint="eastAsia" w:ascii="宋体" w:hAnsi="宋体" w:cs="宋体"/>
          <w:color w:val="3A3A3A"/>
          <w:kern w:val="0"/>
          <w:sz w:val="24"/>
          <w:szCs w:val="24"/>
        </w:rPr>
        <w:t>：报价文件参考格式</w:t>
      </w:r>
    </w:p>
    <w:p>
      <w:pPr>
        <w:widowControl/>
        <w:shd w:val="clear" w:color="auto" w:fill="FFFFFF"/>
        <w:adjustRightInd w:val="0"/>
        <w:snapToGrid w:val="0"/>
        <w:spacing w:line="360" w:lineRule="auto"/>
        <w:jc w:val="left"/>
        <w:rPr>
          <w:rFonts w:hint="eastAsia" w:ascii="宋体" w:hAnsi="宋体" w:cs="宋体"/>
          <w:color w:val="3A3A3A"/>
          <w:kern w:val="0"/>
          <w:sz w:val="24"/>
          <w:szCs w:val="24"/>
        </w:rPr>
      </w:pPr>
    </w:p>
    <w:p>
      <w:pPr>
        <w:widowControl/>
        <w:shd w:val="clear" w:color="auto" w:fill="FFFFFF"/>
        <w:adjustRightInd w:val="0"/>
        <w:snapToGrid w:val="0"/>
        <w:spacing w:line="480" w:lineRule="auto"/>
        <w:ind w:firstLine="3480" w:firstLineChars="1450"/>
        <w:jc w:val="left"/>
        <w:rPr>
          <w:rFonts w:ascii="宋体" w:hAnsi="宋体"/>
          <w:sz w:val="24"/>
          <w:szCs w:val="24"/>
        </w:rPr>
      </w:pPr>
      <w:r>
        <w:rPr>
          <w:rFonts w:hint="eastAsia" w:ascii="宋体" w:hAnsi="宋体"/>
          <w:sz w:val="24"/>
          <w:szCs w:val="24"/>
        </w:rPr>
        <w:t>报价文件</w:t>
      </w:r>
    </w:p>
    <w:p>
      <w:pPr>
        <w:widowControl/>
        <w:shd w:val="clear" w:color="auto" w:fill="FFFFFF"/>
        <w:adjustRightInd w:val="0"/>
        <w:snapToGrid w:val="0"/>
        <w:spacing w:line="480" w:lineRule="auto"/>
        <w:jc w:val="left"/>
        <w:rPr>
          <w:rFonts w:ascii="宋体" w:hAnsi="宋体" w:cs="宋体"/>
          <w:color w:val="3A3A3A"/>
          <w:kern w:val="0"/>
          <w:sz w:val="24"/>
          <w:szCs w:val="24"/>
          <w:u w:val="single"/>
        </w:rPr>
      </w:pPr>
      <w:r>
        <w:rPr>
          <w:rFonts w:hint="eastAsia" w:ascii="宋体" w:hAnsi="宋体" w:cs="宋体"/>
          <w:color w:val="3A3A3A"/>
          <w:kern w:val="0"/>
          <w:sz w:val="24"/>
          <w:szCs w:val="24"/>
        </w:rPr>
        <w:t>报价单位：</w:t>
      </w:r>
      <w:r>
        <w:rPr>
          <w:rFonts w:hint="eastAsia" w:ascii="宋体" w:hAnsi="宋体" w:cs="宋体"/>
          <w:color w:val="3A3A3A"/>
          <w:kern w:val="0"/>
          <w:sz w:val="24"/>
          <w:szCs w:val="24"/>
          <w:u w:val="single"/>
        </w:rPr>
        <w:t xml:space="preserve">                      .</w:t>
      </w:r>
      <w:r>
        <w:rPr>
          <w:rFonts w:ascii="宋体" w:hAnsi="宋体" w:cs="宋体"/>
          <w:color w:val="3A3A3A"/>
          <w:kern w:val="0"/>
          <w:sz w:val="24"/>
          <w:szCs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szCs w:val="24"/>
        </w:rPr>
      </w:pPr>
      <w:r>
        <w:rPr>
          <w:rFonts w:hint="eastAsia" w:ascii="宋体" w:hAnsi="宋体" w:cs="宋体"/>
          <w:color w:val="3A3A3A"/>
          <w:kern w:val="0"/>
          <w:sz w:val="24"/>
          <w:szCs w:val="24"/>
        </w:rPr>
        <w:t>最终报价人民币：（大写）</w:t>
      </w:r>
      <w:r>
        <w:rPr>
          <w:rFonts w:hint="eastAsia" w:ascii="宋体" w:hAnsi="宋体" w:cs="宋体"/>
          <w:color w:val="3A3A3A"/>
          <w:kern w:val="0"/>
          <w:sz w:val="24"/>
          <w:szCs w:val="24"/>
          <w:u w:val="single"/>
        </w:rPr>
        <w:t xml:space="preserve">                   （小写）      </w:t>
      </w:r>
      <w:r>
        <w:rPr>
          <w:rFonts w:hint="eastAsia" w:ascii="宋体" w:hAnsi="宋体" w:cs="宋体"/>
          <w:color w:val="3A3A3A"/>
          <w:kern w:val="0"/>
          <w:sz w:val="24"/>
          <w:szCs w:val="24"/>
        </w:rPr>
        <w:t>元</w:t>
      </w:r>
      <w:r>
        <w:rPr>
          <w:rFonts w:ascii="宋体" w:hAnsi="宋体" w:cs="宋体"/>
          <w:color w:val="3A3A3A"/>
          <w:kern w:val="0"/>
          <w:sz w:val="24"/>
          <w:szCs w:val="24"/>
        </w:rPr>
        <w:t xml:space="preserve"> </w:t>
      </w:r>
      <w:r>
        <w:rPr>
          <w:rFonts w:hint="eastAsia" w:ascii="宋体" w:hAnsi="宋体" w:cs="宋体"/>
          <w:color w:val="3A3A3A"/>
          <w:kern w:val="0"/>
          <w:sz w:val="24"/>
          <w:szCs w:val="24"/>
        </w:rPr>
        <w:t xml:space="preserve">                   </w:t>
      </w:r>
      <w:r>
        <w:rPr>
          <w:rFonts w:ascii="宋体" w:hAnsi="宋体" w:cs="宋体"/>
          <w:color w:val="3A3A3A"/>
          <w:kern w:val="0"/>
          <w:sz w:val="24"/>
          <w:szCs w:val="24"/>
        </w:rPr>
        <w:t xml:space="preserve">                                     </w:t>
      </w:r>
    </w:p>
    <w:p>
      <w:pPr>
        <w:widowControl/>
        <w:shd w:val="clear" w:color="auto" w:fill="FFFFFF"/>
        <w:adjustRightInd w:val="0"/>
        <w:snapToGrid w:val="0"/>
        <w:spacing w:line="480" w:lineRule="auto"/>
        <w:jc w:val="left"/>
        <w:rPr>
          <w:rFonts w:hint="eastAsia" w:ascii="宋体" w:hAnsi="宋体" w:cs="宋体"/>
          <w:color w:val="3A3A3A"/>
          <w:kern w:val="0"/>
          <w:sz w:val="24"/>
          <w:szCs w:val="24"/>
          <w:u w:val="thick"/>
        </w:rPr>
      </w:pPr>
      <w:r>
        <w:rPr>
          <w:rFonts w:hint="eastAsia" w:ascii="宋体" w:hAnsi="宋体" w:cs="宋体"/>
          <w:color w:val="3A3A3A"/>
          <w:kern w:val="0"/>
          <w:sz w:val="24"/>
          <w:szCs w:val="24"/>
        </w:rPr>
        <w:t>联系人及联系电话</w:t>
      </w:r>
      <w:r>
        <w:rPr>
          <w:rFonts w:hint="eastAsia" w:ascii="宋体" w:hAnsi="宋体" w:cs="宋体"/>
          <w:color w:val="3A3A3A"/>
          <w:kern w:val="0"/>
          <w:sz w:val="24"/>
          <w:szCs w:val="24"/>
          <w:u w:val="single"/>
        </w:rPr>
        <w:t xml:space="preserve">：                          </w:t>
      </w:r>
      <w:r>
        <w:rPr>
          <w:rFonts w:hint="eastAsia" w:ascii="宋体" w:hAnsi="宋体" w:cs="宋体"/>
          <w:color w:val="3A3A3A"/>
          <w:kern w:val="0"/>
          <w:sz w:val="24"/>
          <w:szCs w:val="24"/>
        </w:rPr>
        <w:t>.</w:t>
      </w:r>
    </w:p>
    <w:p>
      <w:pPr>
        <w:rPr>
          <w:rFonts w:hint="eastAsia" w:ascii="宋体" w:hAnsi="宋体"/>
          <w:color w:val="FF0000"/>
          <w:sz w:val="28"/>
          <w:szCs w:val="28"/>
        </w:rPr>
      </w:pPr>
      <w:r>
        <w:rPr>
          <w:rFonts w:hint="eastAsia" w:ascii="宋体" w:hAnsi="宋体" w:cs="宋体"/>
          <w:color w:val="FF0000"/>
          <w:kern w:val="0"/>
          <w:sz w:val="24"/>
          <w:szCs w:val="24"/>
        </w:rPr>
        <w:t>注:</w:t>
      </w:r>
      <w:r>
        <w:rPr>
          <w:rFonts w:hint="eastAsia" w:ascii="宋体" w:hAnsi="宋体"/>
          <w:color w:val="FF0000"/>
          <w:sz w:val="24"/>
          <w:szCs w:val="24"/>
        </w:rPr>
        <w:t xml:space="preserve"> </w:t>
      </w:r>
      <w:r>
        <w:rPr>
          <w:rFonts w:hint="eastAsia" w:ascii="宋体" w:hAnsi="宋体" w:cs="宋体"/>
          <w:color w:val="FF0000"/>
          <w:kern w:val="0"/>
          <w:sz w:val="24"/>
          <w:szCs w:val="24"/>
        </w:rPr>
        <w:t xml:space="preserve">请各报价单位按询价公告所有要求的内容响应提交承诺函、报价表、营业执照等相关证明材料复印件，并加盖公章。 </w:t>
      </w:r>
      <w:r>
        <w:rPr>
          <w:rFonts w:hint="eastAsia" w:ascii="宋体" w:hAnsi="宋体" w:cs="宋体"/>
          <w:color w:val="FF0000"/>
          <w:kern w:val="0"/>
          <w:sz w:val="28"/>
          <w:szCs w:val="28"/>
        </w:rPr>
        <w:t xml:space="preserve">  </w:t>
      </w:r>
      <w:r>
        <w:rPr>
          <w:rFonts w:hint="eastAsia" w:ascii="宋体" w:hAnsi="宋体"/>
          <w:color w:val="FF0000"/>
          <w:sz w:val="28"/>
          <w:szCs w:val="28"/>
        </w:rPr>
        <w:t xml:space="preserve"> </w:t>
      </w:r>
    </w:p>
    <w:p>
      <w:pPr>
        <w:rPr>
          <w:rFonts w:hint="eastAsia" w:ascii="宋体" w:hAnsi="宋体"/>
          <w:color w:val="FF0000"/>
          <w:sz w:val="28"/>
          <w:szCs w:val="28"/>
        </w:rPr>
      </w:pPr>
    </w:p>
    <w:p>
      <w:pPr>
        <w:rPr>
          <w:rFonts w:hint="eastAsia" w:ascii="宋体" w:hAnsi="宋体"/>
          <w:color w:val="FF0000"/>
          <w:sz w:val="28"/>
          <w:szCs w:val="28"/>
          <w:lang w:val="en-US" w:eastAsia="zh-CN"/>
        </w:rPr>
      </w:pPr>
      <w:r>
        <w:rPr>
          <w:rFonts w:hint="eastAsia" w:ascii="宋体" w:hAnsi="宋体"/>
          <w:color w:val="FF0000"/>
          <w:sz w:val="28"/>
          <w:szCs w:val="28"/>
          <w:lang w:eastAsia="zh-CN"/>
        </w:rPr>
        <w:t>附件</w:t>
      </w:r>
      <w:r>
        <w:rPr>
          <w:rFonts w:hint="eastAsia" w:ascii="宋体" w:hAnsi="宋体"/>
          <w:color w:val="FF0000"/>
          <w:sz w:val="28"/>
          <w:szCs w:val="28"/>
          <w:lang w:val="en-US" w:eastAsia="zh-CN"/>
        </w:rPr>
        <w:t>2：技术参数</w:t>
      </w:r>
    </w:p>
    <w:tbl>
      <w:tblPr>
        <w:tblStyle w:val="4"/>
        <w:tblpPr w:leftFromText="180" w:rightFromText="180" w:vertAnchor="page" w:horzAnchor="page" w:tblpX="626" w:tblpY="6335"/>
        <w:tblW w:w="7714" w:type="dxa"/>
        <w:tblInd w:w="0" w:type="dxa"/>
        <w:tblLayout w:type="autofit"/>
        <w:tblCellMar>
          <w:top w:w="0" w:type="dxa"/>
          <w:left w:w="108" w:type="dxa"/>
          <w:bottom w:w="0" w:type="dxa"/>
          <w:right w:w="108" w:type="dxa"/>
        </w:tblCellMar>
      </w:tblPr>
      <w:tblGrid>
        <w:gridCol w:w="992"/>
        <w:gridCol w:w="5495"/>
        <w:gridCol w:w="567"/>
        <w:gridCol w:w="660"/>
      </w:tblGrid>
      <w:tr>
        <w:tblPrEx>
          <w:tblCellMar>
            <w:top w:w="0" w:type="dxa"/>
            <w:left w:w="108" w:type="dxa"/>
            <w:bottom w:w="0" w:type="dxa"/>
            <w:right w:w="108" w:type="dxa"/>
          </w:tblCellMar>
        </w:tblPrEx>
        <w:trPr>
          <w:trHeight w:val="27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名  称</w:t>
            </w:r>
          </w:p>
        </w:tc>
        <w:tc>
          <w:tcPr>
            <w:tcW w:w="5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规    格</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spacing w:val="-4"/>
                <w:kern w:val="0"/>
                <w:sz w:val="18"/>
                <w:szCs w:val="18"/>
              </w:rPr>
            </w:pPr>
            <w:r>
              <w:rPr>
                <w:rFonts w:hint="eastAsia" w:cs="宋体" w:asciiTheme="minorEastAsia" w:hAnsiTheme="minorEastAsia"/>
                <w:color w:val="000000"/>
                <w:spacing w:val="-4"/>
                <w:kern w:val="0"/>
                <w:sz w:val="18"/>
                <w:szCs w:val="18"/>
              </w:rPr>
              <w:t>数量</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单位</w:t>
            </w:r>
          </w:p>
        </w:tc>
      </w:tr>
      <w:tr>
        <w:tblPrEx>
          <w:tblCellMar>
            <w:top w:w="0" w:type="dxa"/>
            <w:left w:w="108" w:type="dxa"/>
            <w:bottom w:w="0" w:type="dxa"/>
            <w:right w:w="108" w:type="dxa"/>
          </w:tblCellMar>
        </w:tblPrEx>
        <w:trPr>
          <w:trHeight w:val="270" w:hRule="atLeast"/>
        </w:trPr>
        <w:tc>
          <w:tcPr>
            <w:tcW w:w="771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ascii="宋体" w:hAnsi="宋体" w:eastAsia="宋体" w:cs="宋体"/>
                <w:bCs/>
                <w:kern w:val="0"/>
                <w:sz w:val="24"/>
                <w:szCs w:val="24"/>
              </w:rPr>
              <w:t>连江校区明德楼礼堂</w:t>
            </w:r>
          </w:p>
        </w:tc>
      </w:tr>
      <w:tr>
        <w:tblPrEx>
          <w:tblCellMar>
            <w:top w:w="0" w:type="dxa"/>
            <w:left w:w="108" w:type="dxa"/>
            <w:bottom w:w="0" w:type="dxa"/>
            <w:right w:w="108" w:type="dxa"/>
          </w:tblCellMar>
        </w:tblPrEx>
        <w:trPr>
          <w:trHeight w:val="243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手拉手数字会议主控机</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40" w:lineRule="exact"/>
              <w:rPr>
                <w:rFonts w:hint="eastAsia" w:asciiTheme="minorEastAsia" w:hAnsiTheme="minorEastAsia"/>
                <w:color w:val="000000"/>
                <w:sz w:val="18"/>
                <w:szCs w:val="18"/>
              </w:rPr>
            </w:pPr>
            <w:r>
              <w:rPr>
                <w:rFonts w:hint="eastAsia" w:asciiTheme="minorEastAsia" w:hAnsiTheme="minorEastAsia"/>
                <w:color w:val="000000"/>
                <w:sz w:val="18"/>
                <w:szCs w:val="18"/>
              </w:rPr>
              <w:t>1、立体声、单声道、桥接三种输出方式。</w:t>
            </w:r>
          </w:p>
          <w:p>
            <w:pPr>
              <w:spacing w:line="340" w:lineRule="exact"/>
              <w:rPr>
                <w:rFonts w:hint="eastAsia" w:asciiTheme="minorEastAsia" w:hAnsiTheme="minorEastAsia"/>
                <w:color w:val="000000"/>
                <w:sz w:val="18"/>
                <w:szCs w:val="18"/>
              </w:rPr>
            </w:pPr>
            <w:r>
              <w:rPr>
                <w:rFonts w:hint="eastAsia" w:asciiTheme="minorEastAsia" w:hAnsiTheme="minorEastAsia"/>
                <w:color w:val="000000"/>
                <w:sz w:val="18"/>
                <w:szCs w:val="18"/>
              </w:rPr>
              <w:t>额定功率：≥850W ；输入灵敏度阻抗:≥500mv/20KΩ；输出功率:8Ω----2x350W；4Ω----2x550W；桥接8Ω----850W；频率响应:20Hz-20KHz；输入方式：卡龙母平衡输入，6.35插座输入；电源软启动</w:t>
            </w:r>
          </w:p>
          <w:p>
            <w:pPr>
              <w:spacing w:line="340" w:lineRule="exact"/>
              <w:rPr>
                <w:rFonts w:hint="eastAsia" w:asciiTheme="minorEastAsia" w:hAnsiTheme="minorEastAsia"/>
                <w:color w:val="000000"/>
                <w:sz w:val="18"/>
                <w:szCs w:val="18"/>
              </w:rPr>
            </w:pPr>
            <w:r>
              <w:rPr>
                <w:rFonts w:hint="eastAsia" w:asciiTheme="minorEastAsia" w:hAnsiTheme="minorEastAsia"/>
                <w:color w:val="000000"/>
                <w:sz w:val="18"/>
                <w:szCs w:val="18"/>
              </w:rPr>
              <w:t>信噪比:&gt;90dB，谐波失真:&lt;0.05%，通道串音:&lt;-70dB</w:t>
            </w:r>
          </w:p>
          <w:p>
            <w:pPr>
              <w:spacing w:line="340" w:lineRule="exact"/>
              <w:rPr>
                <w:rFonts w:cs="宋体" w:asciiTheme="minorEastAsia" w:hAnsiTheme="minorEastAsia"/>
                <w:color w:val="000000"/>
                <w:sz w:val="18"/>
                <w:szCs w:val="18"/>
              </w:rPr>
            </w:pPr>
            <w:r>
              <w:rPr>
                <w:rFonts w:hint="eastAsia" w:asciiTheme="minorEastAsia" w:hAnsiTheme="minorEastAsia"/>
                <w:color w:val="000000"/>
                <w:sz w:val="18"/>
                <w:szCs w:val="18"/>
              </w:rPr>
              <w:t>输出阻抗:4-16Ω，机箱规格：2U ，开关、指示：船型开关、面板电源。</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1857"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主席单元</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40" w:lineRule="exact"/>
              <w:rPr>
                <w:rFonts w:hint="eastAsia" w:asciiTheme="minorEastAsia" w:hAnsiTheme="minorEastAsia"/>
                <w:color w:val="000000"/>
                <w:sz w:val="18"/>
                <w:szCs w:val="18"/>
              </w:rPr>
            </w:pPr>
            <w:r>
              <w:rPr>
                <w:rFonts w:hint="eastAsia" w:asciiTheme="minorEastAsia" w:hAnsiTheme="minorEastAsia"/>
                <w:color w:val="000000"/>
                <w:sz w:val="18"/>
                <w:szCs w:val="18"/>
              </w:rPr>
              <w:t>1.具有自动机功能，开启的麦克风在没有拾音的状态下30秒内将自动关闭；</w:t>
            </w:r>
          </w:p>
          <w:p>
            <w:pPr>
              <w:spacing w:line="340" w:lineRule="exact"/>
              <w:rPr>
                <w:rFonts w:cs="宋体" w:asciiTheme="minorEastAsia" w:hAnsiTheme="minorEastAsia"/>
                <w:color w:val="000000"/>
                <w:sz w:val="18"/>
                <w:szCs w:val="18"/>
              </w:rPr>
            </w:pPr>
            <w:r>
              <w:rPr>
                <w:rFonts w:hint="eastAsia" w:asciiTheme="minorEastAsia" w:hAnsiTheme="minorEastAsia"/>
                <w:color w:val="000000"/>
                <w:sz w:val="18"/>
                <w:szCs w:val="18"/>
              </w:rPr>
              <w:t>2.频率响应：50Hz—16KHz，灵敏度：—44dB±2dB，讲话距离：30-150cm。</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项</w:t>
            </w:r>
          </w:p>
        </w:tc>
      </w:tr>
      <w:tr>
        <w:tblPrEx>
          <w:tblCellMar>
            <w:top w:w="0" w:type="dxa"/>
            <w:left w:w="108" w:type="dxa"/>
            <w:bottom w:w="0" w:type="dxa"/>
            <w:right w:w="108" w:type="dxa"/>
          </w:tblCellMar>
        </w:tblPrEx>
        <w:trPr>
          <w:trHeight w:val="2692"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代表单元</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40" w:lineRule="exact"/>
              <w:rPr>
                <w:rFonts w:hint="eastAsia" w:asciiTheme="minorEastAsia" w:hAnsiTheme="minorEastAsia"/>
                <w:color w:val="000000"/>
                <w:sz w:val="18"/>
                <w:szCs w:val="18"/>
              </w:rPr>
            </w:pPr>
            <w:r>
              <w:rPr>
                <w:rFonts w:hint="eastAsia" w:asciiTheme="minorEastAsia" w:hAnsiTheme="minorEastAsia"/>
                <w:color w:val="000000"/>
                <w:sz w:val="18"/>
                <w:szCs w:val="18"/>
              </w:rPr>
              <w:t>1.具有自动机功能，开启的麦克风在没有拾音的状态下30秒内将自动关闭</w:t>
            </w:r>
          </w:p>
          <w:p>
            <w:pPr>
              <w:spacing w:line="340" w:lineRule="exact"/>
              <w:rPr>
                <w:rFonts w:cs="宋体" w:asciiTheme="minorEastAsia" w:hAnsiTheme="minorEastAsia"/>
                <w:color w:val="000000"/>
                <w:sz w:val="18"/>
                <w:szCs w:val="18"/>
              </w:rPr>
            </w:pPr>
            <w:r>
              <w:rPr>
                <w:rFonts w:hint="eastAsia" w:asciiTheme="minorEastAsia" w:hAnsiTheme="minorEastAsia"/>
                <w:color w:val="000000"/>
                <w:sz w:val="18"/>
                <w:szCs w:val="18"/>
              </w:rPr>
              <w:t>2频率响应：50Hz—16KHz，灵敏度：—44dB±2dB，讲话距离：30-150cm.</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8</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项</w:t>
            </w:r>
          </w:p>
        </w:tc>
      </w:tr>
      <w:tr>
        <w:tblPrEx>
          <w:tblCellMar>
            <w:top w:w="0" w:type="dxa"/>
            <w:left w:w="108" w:type="dxa"/>
            <w:bottom w:w="0" w:type="dxa"/>
            <w:right w:w="108" w:type="dxa"/>
          </w:tblCellMar>
        </w:tblPrEx>
        <w:trPr>
          <w:trHeight w:val="916"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6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手拉手专用线</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40" w:lineRule="exact"/>
              <w:rPr>
                <w:rFonts w:cs="宋体" w:asciiTheme="minorEastAsia" w:hAnsiTheme="minorEastAsia"/>
                <w:color w:val="000000"/>
                <w:sz w:val="18"/>
                <w:szCs w:val="18"/>
              </w:rPr>
            </w:pPr>
            <w:r>
              <w:rPr>
                <w:rFonts w:hint="eastAsia" w:asciiTheme="minorEastAsia" w:hAnsiTheme="minorEastAsia"/>
                <w:color w:val="000000"/>
                <w:sz w:val="18"/>
                <w:szCs w:val="18"/>
              </w:rPr>
              <w:t>定制长度，含布线辅材及人工</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50</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米</w:t>
            </w:r>
          </w:p>
        </w:tc>
      </w:tr>
      <w:tr>
        <w:tblPrEx>
          <w:tblCellMar>
            <w:top w:w="0" w:type="dxa"/>
            <w:left w:w="108" w:type="dxa"/>
            <w:bottom w:w="0" w:type="dxa"/>
            <w:right w:w="108" w:type="dxa"/>
          </w:tblCellMar>
        </w:tblPrEx>
        <w:trPr>
          <w:trHeight w:val="378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双通道纯后级功放</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EastAsia" w:hAnsiTheme="minorEastAsia"/>
                <w:sz w:val="18"/>
                <w:szCs w:val="18"/>
              </w:rPr>
            </w:pPr>
            <w:r>
              <w:rPr>
                <w:rFonts w:hint="eastAsia" w:asciiTheme="minorEastAsia" w:hAnsiTheme="minorEastAsia"/>
                <w:sz w:val="18"/>
                <w:szCs w:val="18"/>
              </w:rPr>
              <w:t>高强度结构机箱，与机架对称结构，装配快捷。</w:t>
            </w:r>
          </w:p>
          <w:p>
            <w:pPr>
              <w:spacing w:line="240" w:lineRule="exact"/>
              <w:rPr>
                <w:rFonts w:hint="eastAsia" w:asciiTheme="minorEastAsia" w:hAnsiTheme="minorEastAsia"/>
                <w:sz w:val="18"/>
                <w:szCs w:val="18"/>
              </w:rPr>
            </w:pPr>
            <w:r>
              <w:rPr>
                <w:rFonts w:hint="eastAsia" w:asciiTheme="minorEastAsia" w:hAnsiTheme="minorEastAsia"/>
                <w:sz w:val="18"/>
                <w:szCs w:val="18"/>
              </w:rPr>
              <w:t>大能量线性供电，高效率环型变压器</w:t>
            </w:r>
          </w:p>
          <w:p>
            <w:pPr>
              <w:spacing w:line="240" w:lineRule="exact"/>
              <w:rPr>
                <w:rFonts w:hint="eastAsia" w:asciiTheme="minorEastAsia" w:hAnsiTheme="minorEastAsia"/>
                <w:sz w:val="18"/>
                <w:szCs w:val="18"/>
              </w:rPr>
            </w:pPr>
            <w:r>
              <w:rPr>
                <w:rFonts w:hint="eastAsia" w:asciiTheme="minorEastAsia" w:hAnsiTheme="minorEastAsia"/>
                <w:sz w:val="18"/>
                <w:szCs w:val="18"/>
              </w:rPr>
              <w:t>独立模块结构，分辨率高，语音清晰细腻。</w:t>
            </w:r>
          </w:p>
          <w:p>
            <w:pPr>
              <w:spacing w:line="240" w:lineRule="exact"/>
              <w:rPr>
                <w:rFonts w:hint="eastAsia" w:asciiTheme="minorEastAsia" w:hAnsiTheme="minorEastAsia"/>
                <w:sz w:val="18"/>
                <w:szCs w:val="18"/>
              </w:rPr>
            </w:pPr>
            <w:r>
              <w:rPr>
                <w:rFonts w:hint="eastAsia" w:asciiTheme="minorEastAsia" w:hAnsiTheme="minorEastAsia"/>
                <w:sz w:val="18"/>
                <w:szCs w:val="18"/>
              </w:rPr>
              <w:t>平衡、不平衡输入</w:t>
            </w:r>
          </w:p>
          <w:p>
            <w:pPr>
              <w:spacing w:line="240" w:lineRule="exact"/>
              <w:rPr>
                <w:rFonts w:hint="eastAsia" w:asciiTheme="minorEastAsia" w:hAnsiTheme="minorEastAsia"/>
                <w:sz w:val="18"/>
                <w:szCs w:val="18"/>
              </w:rPr>
            </w:pPr>
            <w:r>
              <w:rPr>
                <w:rFonts w:hint="eastAsia" w:asciiTheme="minorEastAsia" w:hAnsiTheme="minorEastAsia"/>
                <w:sz w:val="18"/>
                <w:szCs w:val="18"/>
              </w:rPr>
              <w:t>立体声、单声道、桥接三种输出方式。</w:t>
            </w:r>
          </w:p>
          <w:p>
            <w:pPr>
              <w:spacing w:line="240" w:lineRule="exact"/>
              <w:rPr>
                <w:rFonts w:hint="eastAsia" w:asciiTheme="minorEastAsia" w:hAnsiTheme="minorEastAsia"/>
                <w:sz w:val="18"/>
                <w:szCs w:val="18"/>
              </w:rPr>
            </w:pPr>
            <w:r>
              <w:rPr>
                <w:rFonts w:hint="eastAsia" w:asciiTheme="minorEastAsia" w:hAnsiTheme="minorEastAsia"/>
                <w:sz w:val="18"/>
                <w:szCs w:val="18"/>
              </w:rPr>
              <w:t>高灵敏度安全保护电路。</w:t>
            </w:r>
          </w:p>
          <w:p>
            <w:pPr>
              <w:spacing w:line="240" w:lineRule="exact"/>
              <w:rPr>
                <w:rFonts w:hint="eastAsia" w:asciiTheme="minorEastAsia" w:hAnsiTheme="minorEastAsia"/>
                <w:sz w:val="18"/>
                <w:szCs w:val="18"/>
              </w:rPr>
            </w:pPr>
            <w:r>
              <w:rPr>
                <w:rFonts w:hint="eastAsia" w:asciiTheme="minorEastAsia" w:hAnsiTheme="minorEastAsia"/>
                <w:sz w:val="18"/>
                <w:szCs w:val="18"/>
              </w:rPr>
              <w:t>电源、保护、信号、削波LED工作状态指示。</w:t>
            </w:r>
          </w:p>
          <w:p>
            <w:pPr>
              <w:spacing w:line="240" w:lineRule="exact"/>
              <w:rPr>
                <w:rFonts w:hint="eastAsia" w:asciiTheme="minorEastAsia" w:hAnsiTheme="minorEastAsia"/>
                <w:sz w:val="18"/>
                <w:szCs w:val="18"/>
              </w:rPr>
            </w:pPr>
            <w:r>
              <w:rPr>
                <w:rFonts w:hint="eastAsia" w:asciiTheme="minorEastAsia" w:hAnsiTheme="minorEastAsia"/>
                <w:sz w:val="18"/>
                <w:szCs w:val="18"/>
              </w:rPr>
              <w:t>削峰限幅、电源软启动系统。用继电器延时的电路机的软启动特性，从而保护了扬声器免受开关机时的电冲击，双Speaker和喇叭接线柱输出，高效率双风扇冷却通道，低噪音设计。输入电压：220V/50Hz</w:t>
            </w:r>
          </w:p>
          <w:p>
            <w:pPr>
              <w:spacing w:line="240" w:lineRule="exact"/>
              <w:rPr>
                <w:rFonts w:hint="eastAsia" w:asciiTheme="minorEastAsia" w:hAnsiTheme="minorEastAsia"/>
                <w:sz w:val="18"/>
                <w:szCs w:val="18"/>
              </w:rPr>
            </w:pPr>
            <w:r>
              <w:rPr>
                <w:rFonts w:hint="eastAsia" w:asciiTheme="minorEastAsia" w:hAnsiTheme="minorEastAsia"/>
                <w:sz w:val="18"/>
                <w:szCs w:val="18"/>
              </w:rPr>
              <w:t>额定功率：850W ；输入灵敏度阻抗:500mv/20KΩ；输出功率:8Ω----2x350W；4Ω----2x550W；桥接8Ω----850W；频率响应:20Hz-20KHz；输入方式：卡龙母平衡输入，6.35插座输入；输出方式：音箱接线柱，音箱卡龙，功能：适合各种场合的声音放大传输，对扬声器有保护电路，电源软启动，搞保真，声音清晰，人声表现力强</w:t>
            </w:r>
          </w:p>
          <w:p>
            <w:pPr>
              <w:spacing w:line="240" w:lineRule="exact"/>
              <w:rPr>
                <w:rFonts w:hint="eastAsia" w:asciiTheme="minorEastAsia" w:hAnsiTheme="minorEastAsia"/>
                <w:sz w:val="18"/>
                <w:szCs w:val="18"/>
              </w:rPr>
            </w:pPr>
            <w:r>
              <w:rPr>
                <w:rFonts w:hint="eastAsia" w:asciiTheme="minorEastAsia" w:hAnsiTheme="minorEastAsia"/>
                <w:sz w:val="18"/>
                <w:szCs w:val="18"/>
              </w:rPr>
              <w:t>信噪比:&gt;90dB，谐波失真:&lt;0.05%，通道串音:&lt;-70dB</w:t>
            </w:r>
          </w:p>
          <w:p>
            <w:pPr>
              <w:spacing w:line="240" w:lineRule="exact"/>
              <w:rPr>
                <w:rFonts w:cs="宋体" w:asciiTheme="minorEastAsia" w:hAnsiTheme="minorEastAsia"/>
                <w:sz w:val="18"/>
                <w:szCs w:val="18"/>
              </w:rPr>
            </w:pPr>
            <w:r>
              <w:rPr>
                <w:rFonts w:hint="eastAsia" w:asciiTheme="minorEastAsia" w:hAnsiTheme="minorEastAsia"/>
                <w:sz w:val="18"/>
                <w:szCs w:val="18"/>
              </w:rPr>
              <w:t>输出阻抗:4-16Ω，机箱规格：2U ，开关、指示：船型开关、面板电源，保护信号，谐波各种状态</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2599"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会议音频处理器</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EastAsia" w:hAnsiTheme="minorEastAsia"/>
                <w:sz w:val="18"/>
                <w:szCs w:val="18"/>
              </w:rPr>
            </w:pPr>
            <w:r>
              <w:rPr>
                <w:rFonts w:hint="eastAsia" w:asciiTheme="minorEastAsia" w:hAnsiTheme="minorEastAsia"/>
                <w:sz w:val="18"/>
                <w:szCs w:val="18"/>
              </w:rPr>
              <w:t>LCD显示屏显示功能模式切换数字模式功能键选择</w:t>
            </w:r>
          </w:p>
          <w:p>
            <w:pPr>
              <w:spacing w:line="240" w:lineRule="exact"/>
              <w:rPr>
                <w:rFonts w:hint="eastAsia" w:asciiTheme="minorEastAsia" w:hAnsiTheme="minorEastAsia"/>
                <w:sz w:val="18"/>
                <w:szCs w:val="18"/>
              </w:rPr>
            </w:pPr>
            <w:r>
              <w:rPr>
                <w:rFonts w:hint="eastAsia" w:asciiTheme="minorEastAsia" w:hAnsiTheme="minorEastAsia"/>
                <w:sz w:val="18"/>
                <w:szCs w:val="18"/>
              </w:rPr>
              <w:t>≥六路幻象供电话筒平衡输入</w:t>
            </w:r>
          </w:p>
          <w:p>
            <w:pPr>
              <w:spacing w:line="240" w:lineRule="exact"/>
              <w:rPr>
                <w:rFonts w:hint="eastAsia" w:asciiTheme="minorEastAsia" w:hAnsiTheme="minorEastAsia"/>
                <w:sz w:val="18"/>
                <w:szCs w:val="18"/>
              </w:rPr>
            </w:pPr>
            <w:r>
              <w:rPr>
                <w:rFonts w:hint="eastAsia" w:asciiTheme="minorEastAsia" w:hAnsiTheme="minorEastAsia"/>
                <w:sz w:val="18"/>
                <w:szCs w:val="18"/>
              </w:rPr>
              <w:t>≥六路话筒/线路非平衡输入</w:t>
            </w:r>
          </w:p>
          <w:p>
            <w:pPr>
              <w:spacing w:line="240" w:lineRule="exact"/>
              <w:rPr>
                <w:rFonts w:hint="eastAsia" w:asciiTheme="minorEastAsia" w:hAnsiTheme="minorEastAsia"/>
                <w:sz w:val="18"/>
                <w:szCs w:val="18"/>
              </w:rPr>
            </w:pPr>
            <w:r>
              <w:rPr>
                <w:rFonts w:hint="eastAsia" w:asciiTheme="minorEastAsia" w:hAnsiTheme="minorEastAsia"/>
                <w:sz w:val="18"/>
                <w:szCs w:val="18"/>
              </w:rPr>
              <w:t>幻象供电切换选择开关</w:t>
            </w:r>
          </w:p>
          <w:p>
            <w:pPr>
              <w:spacing w:line="240" w:lineRule="exact"/>
              <w:rPr>
                <w:rFonts w:hint="eastAsia" w:asciiTheme="minorEastAsia" w:hAnsiTheme="minorEastAsia"/>
                <w:sz w:val="18"/>
                <w:szCs w:val="18"/>
              </w:rPr>
            </w:pPr>
            <w:r>
              <w:rPr>
                <w:rFonts w:hint="eastAsia" w:asciiTheme="minorEastAsia" w:hAnsiTheme="minorEastAsia"/>
                <w:sz w:val="18"/>
                <w:szCs w:val="18"/>
              </w:rPr>
              <w:t>六路话筒和线路输入移频效果独立切换开关选择，话筒独立调节</w:t>
            </w:r>
          </w:p>
          <w:p>
            <w:pPr>
              <w:spacing w:line="240" w:lineRule="exact"/>
              <w:rPr>
                <w:rFonts w:hint="eastAsia" w:asciiTheme="minorEastAsia" w:hAnsiTheme="minorEastAsia"/>
                <w:sz w:val="18"/>
                <w:szCs w:val="18"/>
              </w:rPr>
            </w:pPr>
            <w:r>
              <w:rPr>
                <w:rFonts w:hint="eastAsia" w:asciiTheme="minorEastAsia" w:hAnsiTheme="minorEastAsia"/>
                <w:sz w:val="18"/>
                <w:szCs w:val="18"/>
              </w:rPr>
              <w:t>移频量：≥5 Hz±1 Hz，传声增益提升量5-14 dB，线路输入阻抗≥5KΩ</w:t>
            </w:r>
          </w:p>
          <w:p>
            <w:pPr>
              <w:spacing w:line="240" w:lineRule="exact"/>
              <w:rPr>
                <w:rFonts w:hint="eastAsia" w:asciiTheme="minorEastAsia" w:hAnsiTheme="minorEastAsia"/>
                <w:sz w:val="18"/>
                <w:szCs w:val="18"/>
              </w:rPr>
            </w:pPr>
            <w:r>
              <w:rPr>
                <w:rFonts w:hint="eastAsia" w:asciiTheme="minorEastAsia" w:hAnsiTheme="minorEastAsia"/>
                <w:sz w:val="18"/>
                <w:szCs w:val="18"/>
              </w:rPr>
              <w:t>线路输出阻抗≤600Ω</w:t>
            </w:r>
          </w:p>
          <w:p>
            <w:pPr>
              <w:spacing w:line="240" w:lineRule="exact"/>
              <w:rPr>
                <w:rFonts w:hint="eastAsia" w:asciiTheme="minorEastAsia" w:hAnsiTheme="minorEastAsia"/>
                <w:sz w:val="18"/>
                <w:szCs w:val="18"/>
              </w:rPr>
            </w:pPr>
            <w:r>
              <w:rPr>
                <w:rFonts w:hint="eastAsia" w:asciiTheme="minorEastAsia" w:hAnsiTheme="minorEastAsia"/>
                <w:sz w:val="18"/>
                <w:szCs w:val="18"/>
              </w:rPr>
              <w:t>频率响应：非移频状态20 Hz-20K Hz</w:t>
            </w:r>
          </w:p>
          <w:p>
            <w:pPr>
              <w:spacing w:line="240" w:lineRule="exact"/>
              <w:rPr>
                <w:rFonts w:asciiTheme="minorEastAsia" w:hAnsiTheme="minorEastAsia"/>
                <w:sz w:val="18"/>
                <w:szCs w:val="18"/>
              </w:rPr>
            </w:pPr>
            <w:r>
              <w:rPr>
                <w:rFonts w:hint="eastAsia" w:asciiTheme="minorEastAsia" w:hAnsiTheme="minorEastAsia"/>
                <w:sz w:val="18"/>
                <w:szCs w:val="18"/>
              </w:rPr>
              <w:t>移频状态150 Hz-15K Hz</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4960"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8路控制调音台</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EastAsia" w:hAnsiTheme="minorEastAsia"/>
                <w:sz w:val="18"/>
                <w:szCs w:val="18"/>
              </w:rPr>
            </w:pPr>
            <w:r>
              <w:rPr>
                <w:rFonts w:hint="eastAsia" w:asciiTheme="minorEastAsia" w:hAnsiTheme="minorEastAsia"/>
                <w:sz w:val="18"/>
                <w:szCs w:val="18"/>
              </w:rPr>
              <w:t>额定功率：25W</w:t>
            </w:r>
          </w:p>
          <w:p>
            <w:pPr>
              <w:spacing w:line="240" w:lineRule="exact"/>
              <w:rPr>
                <w:rFonts w:hint="eastAsia" w:asciiTheme="minorEastAsia" w:hAnsiTheme="minorEastAsia"/>
                <w:sz w:val="18"/>
                <w:szCs w:val="18"/>
              </w:rPr>
            </w:pPr>
            <w:r>
              <w:rPr>
                <w:rFonts w:hint="eastAsia" w:asciiTheme="minorEastAsia" w:hAnsiTheme="minorEastAsia"/>
                <w:sz w:val="18"/>
                <w:szCs w:val="18"/>
              </w:rPr>
              <w:t>频率响应：20Hz～20KHz</w:t>
            </w:r>
          </w:p>
          <w:p>
            <w:pPr>
              <w:spacing w:line="240" w:lineRule="exact"/>
              <w:rPr>
                <w:rFonts w:hint="eastAsia" w:asciiTheme="minorEastAsia" w:hAnsiTheme="minorEastAsia"/>
                <w:sz w:val="18"/>
                <w:szCs w:val="18"/>
              </w:rPr>
            </w:pPr>
            <w:r>
              <w:rPr>
                <w:rFonts w:hint="eastAsia" w:asciiTheme="minorEastAsia" w:hAnsiTheme="minorEastAsia"/>
                <w:sz w:val="18"/>
                <w:szCs w:val="18"/>
              </w:rPr>
              <w:t>输入方式：4路话筒卡龙母，4路莲花</w:t>
            </w:r>
          </w:p>
          <w:p>
            <w:pPr>
              <w:spacing w:line="240" w:lineRule="exact"/>
              <w:rPr>
                <w:rFonts w:hint="eastAsia" w:asciiTheme="minorEastAsia" w:hAnsiTheme="minorEastAsia"/>
                <w:sz w:val="18"/>
                <w:szCs w:val="18"/>
              </w:rPr>
            </w:pPr>
            <w:r>
              <w:rPr>
                <w:rFonts w:hint="eastAsia" w:asciiTheme="minorEastAsia" w:hAnsiTheme="minorEastAsia"/>
                <w:sz w:val="18"/>
                <w:szCs w:val="18"/>
              </w:rPr>
              <w:t>输出方式：主声道双声道平衡、6.35插座。SUB 双声道6.35插座</w:t>
            </w:r>
          </w:p>
          <w:p>
            <w:pPr>
              <w:spacing w:line="240" w:lineRule="exact"/>
              <w:rPr>
                <w:rFonts w:hint="eastAsia" w:asciiTheme="minorEastAsia" w:hAnsiTheme="minorEastAsia"/>
                <w:sz w:val="18"/>
                <w:szCs w:val="18"/>
              </w:rPr>
            </w:pPr>
            <w:r>
              <w:rPr>
                <w:rFonts w:hint="eastAsia" w:asciiTheme="minorEastAsia" w:hAnsiTheme="minorEastAsia"/>
                <w:sz w:val="18"/>
                <w:szCs w:val="18"/>
              </w:rPr>
              <w:t>功能：高中低音调节，话筒48V供电选择，录音输出，2编组输出，2路辅助输出，数码混响</w:t>
            </w:r>
          </w:p>
          <w:p>
            <w:pPr>
              <w:spacing w:line="240" w:lineRule="exact"/>
              <w:rPr>
                <w:rFonts w:hint="eastAsia" w:asciiTheme="minorEastAsia" w:hAnsiTheme="minorEastAsia"/>
                <w:sz w:val="18"/>
                <w:szCs w:val="18"/>
              </w:rPr>
            </w:pPr>
            <w:r>
              <w:rPr>
                <w:rFonts w:hint="eastAsia" w:asciiTheme="minorEastAsia" w:hAnsiTheme="minorEastAsia"/>
                <w:sz w:val="18"/>
                <w:szCs w:val="18"/>
              </w:rPr>
              <w:t>具有：LED显示屏，支持MP3播放/U盘操作界面屏幕显示,USB录音放音,蓝牙功能</w:t>
            </w:r>
          </w:p>
          <w:p>
            <w:pPr>
              <w:spacing w:line="240" w:lineRule="exact"/>
              <w:rPr>
                <w:rFonts w:hint="eastAsia" w:asciiTheme="minorEastAsia" w:hAnsiTheme="minorEastAsia"/>
                <w:sz w:val="18"/>
                <w:szCs w:val="18"/>
              </w:rPr>
            </w:pPr>
            <w:r>
              <w:rPr>
                <w:rFonts w:hint="eastAsia" w:asciiTheme="minorEastAsia" w:hAnsiTheme="minorEastAsia"/>
                <w:sz w:val="18"/>
                <w:szCs w:val="18"/>
              </w:rPr>
              <w:t>每通道有高、中、低3段参量均衡器</w:t>
            </w:r>
          </w:p>
          <w:p>
            <w:pPr>
              <w:spacing w:line="240" w:lineRule="exact"/>
              <w:rPr>
                <w:rFonts w:hint="eastAsia" w:asciiTheme="minorEastAsia" w:hAnsiTheme="minorEastAsia"/>
                <w:sz w:val="18"/>
                <w:szCs w:val="18"/>
              </w:rPr>
            </w:pPr>
            <w:r>
              <w:rPr>
                <w:rFonts w:hint="eastAsia" w:asciiTheme="minorEastAsia" w:hAnsiTheme="minorEastAsia"/>
                <w:sz w:val="18"/>
                <w:szCs w:val="18"/>
              </w:rPr>
              <w:t>备有录音输入输出功能</w:t>
            </w:r>
          </w:p>
          <w:p>
            <w:pPr>
              <w:spacing w:line="240" w:lineRule="exact"/>
              <w:rPr>
                <w:rFonts w:hint="eastAsia" w:asciiTheme="minorEastAsia" w:hAnsiTheme="minorEastAsia"/>
                <w:sz w:val="18"/>
                <w:szCs w:val="18"/>
              </w:rPr>
            </w:pPr>
            <w:r>
              <w:rPr>
                <w:rFonts w:hint="eastAsia" w:asciiTheme="minorEastAsia" w:hAnsiTheme="minorEastAsia"/>
                <w:sz w:val="18"/>
                <w:szCs w:val="18"/>
              </w:rPr>
              <w:t>最大输出电平:19dBm(1KHz,THD=0.5%)</w:t>
            </w:r>
          </w:p>
          <w:p>
            <w:pPr>
              <w:spacing w:line="240" w:lineRule="exact"/>
              <w:rPr>
                <w:rFonts w:hint="eastAsia" w:asciiTheme="minorEastAsia" w:hAnsiTheme="minorEastAsia"/>
                <w:sz w:val="18"/>
                <w:szCs w:val="18"/>
              </w:rPr>
            </w:pPr>
            <w:r>
              <w:rPr>
                <w:rFonts w:hint="eastAsia" w:asciiTheme="minorEastAsia" w:hAnsiTheme="minorEastAsia"/>
                <w:sz w:val="18"/>
                <w:szCs w:val="18"/>
              </w:rPr>
              <w:t>剩余噪声：-75dB</w:t>
            </w:r>
          </w:p>
          <w:p>
            <w:pPr>
              <w:spacing w:line="240" w:lineRule="exact"/>
              <w:rPr>
                <w:rFonts w:hint="eastAsia" w:asciiTheme="minorEastAsia" w:hAnsiTheme="minorEastAsia"/>
                <w:sz w:val="18"/>
                <w:szCs w:val="18"/>
              </w:rPr>
            </w:pPr>
            <w:r>
              <w:rPr>
                <w:rFonts w:hint="eastAsia" w:asciiTheme="minorEastAsia" w:hAnsiTheme="minorEastAsia"/>
                <w:sz w:val="18"/>
                <w:szCs w:val="18"/>
              </w:rPr>
              <w:t>信噪比：71dB</w:t>
            </w:r>
          </w:p>
          <w:p>
            <w:pPr>
              <w:spacing w:line="240" w:lineRule="exact"/>
              <w:rPr>
                <w:rFonts w:hint="eastAsia" w:asciiTheme="minorEastAsia" w:hAnsiTheme="minorEastAsia"/>
                <w:sz w:val="18"/>
                <w:szCs w:val="18"/>
              </w:rPr>
            </w:pPr>
            <w:r>
              <w:rPr>
                <w:rFonts w:hint="eastAsia" w:asciiTheme="minorEastAsia" w:hAnsiTheme="minorEastAsia"/>
                <w:sz w:val="18"/>
                <w:szCs w:val="18"/>
              </w:rPr>
              <w:t>等效噪声源输入电动势-12dBm</w:t>
            </w:r>
          </w:p>
          <w:p>
            <w:pPr>
              <w:spacing w:line="240" w:lineRule="exact"/>
              <w:rPr>
                <w:rFonts w:hint="eastAsia" w:asciiTheme="minorEastAsia" w:hAnsiTheme="minorEastAsia"/>
                <w:sz w:val="18"/>
                <w:szCs w:val="18"/>
              </w:rPr>
            </w:pPr>
            <w:r>
              <w:rPr>
                <w:rFonts w:hint="eastAsia" w:asciiTheme="minorEastAsia" w:hAnsiTheme="minorEastAsia"/>
                <w:sz w:val="18"/>
                <w:szCs w:val="18"/>
              </w:rPr>
              <w:t>耳机输出功率：40mw(1KHz,THD=0.5%,200Ω)</w:t>
            </w:r>
          </w:p>
          <w:p>
            <w:pPr>
              <w:spacing w:line="240" w:lineRule="exact"/>
              <w:rPr>
                <w:rFonts w:hint="eastAsia" w:asciiTheme="minorEastAsia" w:hAnsiTheme="minorEastAsia"/>
                <w:sz w:val="18"/>
                <w:szCs w:val="18"/>
              </w:rPr>
            </w:pPr>
            <w:r>
              <w:rPr>
                <w:rFonts w:hint="eastAsia" w:asciiTheme="minorEastAsia" w:hAnsiTheme="minorEastAsia"/>
                <w:sz w:val="18"/>
                <w:szCs w:val="18"/>
              </w:rPr>
              <w:t>均衡:低频：80Hz±15dB</w:t>
            </w:r>
          </w:p>
          <w:p>
            <w:pPr>
              <w:spacing w:line="240" w:lineRule="exact"/>
              <w:rPr>
                <w:rFonts w:hint="eastAsia" w:asciiTheme="minorEastAsia" w:hAnsiTheme="minorEastAsia"/>
                <w:sz w:val="18"/>
                <w:szCs w:val="18"/>
              </w:rPr>
            </w:pPr>
            <w:r>
              <w:rPr>
                <w:rFonts w:hint="eastAsia" w:asciiTheme="minorEastAsia" w:hAnsiTheme="minorEastAsia"/>
                <w:sz w:val="18"/>
                <w:szCs w:val="18"/>
              </w:rPr>
              <w:t xml:space="preserve">     中频2.5KHz±15dB</w:t>
            </w:r>
          </w:p>
          <w:p>
            <w:pPr>
              <w:spacing w:line="240" w:lineRule="exact"/>
              <w:rPr>
                <w:rFonts w:hint="eastAsia" w:asciiTheme="minorEastAsia" w:hAnsiTheme="minorEastAsia"/>
                <w:sz w:val="18"/>
                <w:szCs w:val="18"/>
              </w:rPr>
            </w:pPr>
            <w:r>
              <w:rPr>
                <w:rFonts w:hint="eastAsia" w:asciiTheme="minorEastAsia" w:hAnsiTheme="minorEastAsia"/>
                <w:sz w:val="18"/>
                <w:szCs w:val="18"/>
              </w:rPr>
              <w:t xml:space="preserve">     高频：12KHz±15dB</w:t>
            </w:r>
          </w:p>
          <w:p>
            <w:pPr>
              <w:spacing w:line="240" w:lineRule="exact"/>
              <w:rPr>
                <w:rFonts w:hint="eastAsia" w:asciiTheme="minorEastAsia" w:hAnsiTheme="minorEastAsia"/>
                <w:sz w:val="18"/>
                <w:szCs w:val="18"/>
              </w:rPr>
            </w:pPr>
            <w:r>
              <w:rPr>
                <w:rFonts w:hint="eastAsia" w:asciiTheme="minorEastAsia" w:hAnsiTheme="minorEastAsia"/>
                <w:sz w:val="18"/>
                <w:szCs w:val="18"/>
              </w:rPr>
              <w:t>增益控制：单声道：-55dB～0 dB。立体声：-10dB～0dB</w:t>
            </w:r>
          </w:p>
          <w:p>
            <w:pPr>
              <w:spacing w:line="240" w:lineRule="exact"/>
              <w:rPr>
                <w:rFonts w:hint="eastAsia" w:asciiTheme="minorEastAsia" w:hAnsiTheme="minorEastAsia"/>
                <w:sz w:val="18"/>
                <w:szCs w:val="18"/>
              </w:rPr>
            </w:pPr>
            <w:r>
              <w:rPr>
                <w:rFonts w:hint="eastAsia" w:asciiTheme="minorEastAsia" w:hAnsiTheme="minorEastAsia"/>
                <w:sz w:val="18"/>
                <w:szCs w:val="18"/>
              </w:rPr>
              <w:t>频率响应：20Hz～20KHz（+1dB,-3dB)</w:t>
            </w:r>
          </w:p>
          <w:p>
            <w:pPr>
              <w:spacing w:line="240" w:lineRule="exact"/>
              <w:rPr>
                <w:rFonts w:asciiTheme="minorEastAsia" w:hAnsiTheme="minorEastAsia"/>
                <w:sz w:val="18"/>
                <w:szCs w:val="18"/>
              </w:rPr>
            </w:pPr>
            <w:r>
              <w:rPr>
                <w:rFonts w:hint="eastAsia" w:asciiTheme="minorEastAsia" w:hAnsiTheme="minorEastAsia"/>
                <w:sz w:val="18"/>
                <w:szCs w:val="18"/>
              </w:rPr>
              <w:t>总谐波失真+噪声：≤0.05%（1KHz，0.775V）</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1125"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代表单元</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EastAsia" w:hAnsiTheme="minorEastAsia"/>
                <w:sz w:val="18"/>
                <w:szCs w:val="18"/>
              </w:rPr>
            </w:pPr>
            <w:r>
              <w:rPr>
                <w:rFonts w:hint="eastAsia" w:asciiTheme="minorEastAsia" w:hAnsiTheme="minorEastAsia"/>
                <w:sz w:val="18"/>
                <w:szCs w:val="18"/>
              </w:rPr>
              <w:t>1.具有自动机功能，开启的麦克风在没有拾音的状态下30秒内将自动关闭</w:t>
            </w:r>
          </w:p>
          <w:p>
            <w:pPr>
              <w:spacing w:line="240" w:lineRule="exact"/>
              <w:rPr>
                <w:rFonts w:hint="default" w:eastAsia="宋体" w:asciiTheme="minorEastAsia" w:hAnsiTheme="minorEastAsia"/>
                <w:sz w:val="18"/>
                <w:szCs w:val="18"/>
                <w:lang w:val="en-US" w:eastAsia="zh-CN"/>
              </w:rPr>
            </w:pPr>
            <w:r>
              <w:rPr>
                <w:rFonts w:hint="eastAsia" w:asciiTheme="minorEastAsia" w:hAnsiTheme="minorEastAsia"/>
                <w:sz w:val="18"/>
                <w:szCs w:val="18"/>
              </w:rPr>
              <w:t>2.频率响应：50Hz—16KHz，灵敏度：—44dB±2dB，讲话距离：30-150cm.</w:t>
            </w:r>
            <w:r>
              <w:rPr>
                <w:rFonts w:hint="eastAsia" w:asciiTheme="minorEastAsia" w:hAnsiTheme="minorEastAsia"/>
                <w:sz w:val="18"/>
                <w:szCs w:val="18"/>
                <w:lang w:eastAsia="zh-CN"/>
              </w:rPr>
              <w:t>利用</w:t>
            </w:r>
            <w:r>
              <w:rPr>
                <w:rFonts w:hint="eastAsia" w:cs="宋体" w:asciiTheme="minorEastAsia" w:hAnsiTheme="minorEastAsia"/>
                <w:color w:val="000000"/>
                <w:kern w:val="0"/>
                <w:sz w:val="18"/>
                <w:szCs w:val="18"/>
              </w:rPr>
              <w:t>德国海天</w:t>
            </w:r>
            <w:r>
              <w:rPr>
                <w:rFonts w:hint="eastAsia" w:cs="宋体" w:asciiTheme="minorEastAsia" w:hAnsiTheme="minorEastAsia"/>
                <w:color w:val="000000"/>
                <w:kern w:val="0"/>
                <w:sz w:val="18"/>
                <w:szCs w:val="18"/>
                <w:lang w:eastAsia="zh-CN"/>
              </w:rPr>
              <w:t>旧话筒</w:t>
            </w:r>
            <w:r>
              <w:rPr>
                <w:rFonts w:hint="eastAsia" w:cs="宋体" w:asciiTheme="minorEastAsia" w:hAnsiTheme="minorEastAsia"/>
                <w:color w:val="000000"/>
                <w:kern w:val="0"/>
                <w:sz w:val="18"/>
                <w:szCs w:val="18"/>
                <w:lang w:val="en-US" w:eastAsia="zh-CN"/>
              </w:rPr>
              <w:t>,有13个可用</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项</w:t>
            </w:r>
          </w:p>
        </w:tc>
      </w:tr>
      <w:tr>
        <w:tblPrEx>
          <w:tblCellMar>
            <w:top w:w="0" w:type="dxa"/>
            <w:left w:w="108" w:type="dxa"/>
            <w:bottom w:w="0" w:type="dxa"/>
            <w:right w:w="108" w:type="dxa"/>
          </w:tblCellMar>
        </w:tblPrEx>
        <w:trPr>
          <w:trHeight w:val="285"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线路整理费</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项</w:t>
            </w:r>
          </w:p>
        </w:tc>
      </w:tr>
      <w:tr>
        <w:tblPrEx>
          <w:tblCellMar>
            <w:top w:w="0" w:type="dxa"/>
            <w:left w:w="108" w:type="dxa"/>
            <w:bottom w:w="0" w:type="dxa"/>
            <w:right w:w="108" w:type="dxa"/>
          </w:tblCellMar>
        </w:tblPrEx>
        <w:trPr>
          <w:trHeight w:val="285"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双通道纯后级功放</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1、立体声、单声道、桥接三种输出方式。</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额定功率：≥850W ；输入灵敏度阻抗:≥500mv/20KΩ；输出功率:8Ω----2x350W；4Ω----2x550W；桥接8Ω----850W；频率响应:20Hz-20KHz；输入方式：卡龙母平衡输入，6.35插座输入；电源软启动</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信噪比:&gt;90dB，谐波失真:&lt;0.05%，通道串音:&lt;-70dB</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输出阻抗:4-16Ω，机箱规格：2U ，开关、指示：船型开关、面板电源，</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557"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会议音频处理器</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LCD显示屏显示功能模式切换数字模式功能键选择</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≥六路幻象供电话筒平衡输入</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≥六路话筒/线路非平衡输入</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幻象供电切换选择开关</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六路话筒和线路输入移频效果独立切换开关选择，话筒独立调节</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移频量：≥5 Hz±1 Hz，传声增益提升量5-14 dB，线路输入阻抗≥5KΩ</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线路输出阻抗≤600Ω</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频率响应：非移频状态20 Hz-20K Hz</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移频状态150 Hz-15K Hz</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1018"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8路控制调音台</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额定功率：25W</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频率响应：20Hz～20KHz</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输入方式：4路话筒卡龙母，4路莲花</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输出方式：主声道双声道平衡、6.35插座。SUB 双声道6.35插座</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功能：高中低音调节，话筒48V供电选择，录音输出，2编组输出，2路辅助输出，数码混响</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具有：LED显示屏，支持MP3播放/U盘操作界面屏幕显示,USB录音放音,蓝牙功能                                                                                                                                                            每通道有高、中、低3段参量均衡器</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备有录音输入输出功能</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最大输出电平:19dBm(1KHz,THD=0.5%)</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剩余噪声：-75dB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信噪比：71dB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等效噪声源输入电动势-12dBm</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耳机输出功率：40mw(1KHz,THD=0.5%,200Ω)</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均衡:低频：80Hz±15dB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     中频2.5KHz±15dB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     高频：12KHz±15dB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增益控制：单声道：-55dB～0 dB。立体声：-10dB～0dB</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频率响应：20Hz～20KHz（+1dB,-3dB)</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总谐波失真+噪声：≤0.05%（1KHz，0.775V）</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台</w:t>
            </w:r>
          </w:p>
        </w:tc>
      </w:tr>
      <w:tr>
        <w:tblPrEx>
          <w:tblCellMar>
            <w:top w:w="0" w:type="dxa"/>
            <w:left w:w="108" w:type="dxa"/>
            <w:bottom w:w="0" w:type="dxa"/>
            <w:right w:w="108" w:type="dxa"/>
          </w:tblCellMar>
        </w:tblPrEx>
        <w:trPr>
          <w:trHeight w:val="1018"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无线一拖四</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空阔最大使用范围300米以上，理想空阔使用范围250米以上。</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每组系统含32*8=256个频率可调 2*256=512个频点共享</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频率稳定性：＜±10PPM</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动态范围：＞105dB.T.H.D失真：＜0.5%</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频率响应：40Hz-18KHz</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音频输出：平衡输出：0-600mV、不平衡输出：0-300mV </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TONE单音频率：32K-51.2KHz</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套</w:t>
            </w:r>
          </w:p>
        </w:tc>
      </w:tr>
      <w:tr>
        <w:tblPrEx>
          <w:tblCellMar>
            <w:top w:w="0" w:type="dxa"/>
            <w:left w:w="108" w:type="dxa"/>
            <w:bottom w:w="0" w:type="dxa"/>
            <w:right w:w="108" w:type="dxa"/>
          </w:tblCellMar>
        </w:tblPrEx>
        <w:trPr>
          <w:trHeight w:val="1408"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有线话筒</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带软杆和发光环的鹅茎话筒                                  </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带软杆和发光环的鹅茎话筒 </w:t>
            </w:r>
          </w:p>
          <w:p>
            <w:pPr>
              <w:widowControl/>
              <w:spacing w:line="270" w:lineRule="exact"/>
              <w:jc w:val="left"/>
              <w:rPr>
                <w:rFonts w:hint="eastAsia"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2个耳机插口 </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耳机音量控制</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套</w:t>
            </w:r>
          </w:p>
        </w:tc>
      </w:tr>
      <w:tr>
        <w:tblPrEx>
          <w:tblCellMar>
            <w:top w:w="0" w:type="dxa"/>
            <w:left w:w="108" w:type="dxa"/>
            <w:bottom w:w="0" w:type="dxa"/>
            <w:right w:w="108" w:type="dxa"/>
          </w:tblCellMar>
        </w:tblPrEx>
        <w:trPr>
          <w:trHeight w:val="1521" w:hRule="atLeast"/>
        </w:trPr>
        <w:tc>
          <w:tcPr>
            <w:tcW w:w="9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8寸扩声音箱 </w:t>
            </w:r>
          </w:p>
        </w:tc>
        <w:tc>
          <w:tcPr>
            <w:tcW w:w="5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1.规 格: 8吋/2分频</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2.频率响应: 100Hz-18KHz </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3.阻 抗: 8Ω，定功率: 60W-120W</w:t>
            </w:r>
          </w:p>
          <w:p>
            <w:pPr>
              <w:widowControl/>
              <w:spacing w:line="27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4.最大声压: 120dB SPL,124dB SPL peak，尺寸（高、宽、厚）：420*250*250mm（因要适应原嵌入式开孔要求）</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2</w:t>
            </w:r>
          </w:p>
        </w:tc>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只</w:t>
            </w:r>
          </w:p>
        </w:tc>
      </w:tr>
    </w:tbl>
    <w:p>
      <w:pPr>
        <w:rPr>
          <w:rFonts w:hint="default" w:ascii="宋体" w:hAnsi="宋体"/>
          <w:color w:val="FF000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97054"/>
    <w:multiLevelType w:val="singleLevel"/>
    <w:tmpl w:val="ADD97054"/>
    <w:lvl w:ilvl="0" w:tentative="0">
      <w:start w:val="1"/>
      <w:numFmt w:val="decimal"/>
      <w:suff w:val="nothing"/>
      <w:lvlText w:val="%1、"/>
      <w:lvlJc w:val="left"/>
    </w:lvl>
  </w:abstractNum>
  <w:abstractNum w:abstractNumId="1">
    <w:nsid w:val="679B3037"/>
    <w:multiLevelType w:val="singleLevel"/>
    <w:tmpl w:val="679B303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59AC"/>
    <w:rsid w:val="03170315"/>
    <w:rsid w:val="04ED7065"/>
    <w:rsid w:val="05823BC4"/>
    <w:rsid w:val="08C64526"/>
    <w:rsid w:val="08DB0835"/>
    <w:rsid w:val="096E7FAC"/>
    <w:rsid w:val="0A386753"/>
    <w:rsid w:val="0B74504C"/>
    <w:rsid w:val="10153AA6"/>
    <w:rsid w:val="1E2F356F"/>
    <w:rsid w:val="24302A1C"/>
    <w:rsid w:val="250259AC"/>
    <w:rsid w:val="25F10848"/>
    <w:rsid w:val="282F4D28"/>
    <w:rsid w:val="2CC556C9"/>
    <w:rsid w:val="2F677327"/>
    <w:rsid w:val="32277304"/>
    <w:rsid w:val="36EE48AB"/>
    <w:rsid w:val="39D96680"/>
    <w:rsid w:val="3BB74A70"/>
    <w:rsid w:val="400868E8"/>
    <w:rsid w:val="408D66C7"/>
    <w:rsid w:val="410777DB"/>
    <w:rsid w:val="41796364"/>
    <w:rsid w:val="41916B7A"/>
    <w:rsid w:val="459C2D6A"/>
    <w:rsid w:val="462F47B9"/>
    <w:rsid w:val="487068D2"/>
    <w:rsid w:val="4A3D3A81"/>
    <w:rsid w:val="4ABF7BEE"/>
    <w:rsid w:val="4D4562E8"/>
    <w:rsid w:val="536F2B64"/>
    <w:rsid w:val="53B94759"/>
    <w:rsid w:val="5496603F"/>
    <w:rsid w:val="597864E4"/>
    <w:rsid w:val="5E9E244A"/>
    <w:rsid w:val="618622A0"/>
    <w:rsid w:val="62C631B6"/>
    <w:rsid w:val="651D256C"/>
    <w:rsid w:val="697E5B2B"/>
    <w:rsid w:val="6DC67BCA"/>
    <w:rsid w:val="78862586"/>
    <w:rsid w:val="79941908"/>
    <w:rsid w:val="7F6705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Autospacing="1" w:afterAutospacing="1"/>
      <w:jc w:val="left"/>
    </w:pPr>
    <w:rPr>
      <w:rFonts w:ascii="Calibri" w:hAnsi="Calibri" w:eastAsia="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dcterms:modified xsi:type="dcterms:W3CDTF">2022-04-26T03:44:47Z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A45C798CE1944B7F8E537BB0129D18E0</vt:lpwstr>
  </property>
</Properties>
</file>