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highlight w:val="none"/>
        </w:rPr>
      </w:pPr>
      <w:r>
        <w:rPr>
          <w:rFonts w:hint="eastAsia"/>
          <w:b/>
          <w:color w:val="auto"/>
          <w:sz w:val="32"/>
          <w:szCs w:val="32"/>
          <w:highlight w:val="none"/>
          <w:lang w:val="en-US" w:eastAsia="zh-CN"/>
        </w:rPr>
        <w:t xml:space="preserve"> </w:t>
      </w:r>
      <w:r>
        <w:rPr>
          <w:rFonts w:hint="eastAsia"/>
          <w:b/>
          <w:color w:val="auto"/>
          <w:sz w:val="32"/>
          <w:szCs w:val="32"/>
          <w:highlight w:val="none"/>
        </w:rPr>
        <w:t>“外语</w:t>
      </w:r>
      <w:r>
        <w:rPr>
          <w:rFonts w:hint="eastAsia"/>
          <w:b/>
          <w:color w:val="auto"/>
          <w:sz w:val="32"/>
          <w:szCs w:val="32"/>
          <w:highlight w:val="none"/>
          <w:lang w:eastAsia="zh-CN"/>
        </w:rPr>
        <w:t>智慧</w:t>
      </w:r>
      <w:r>
        <w:rPr>
          <w:rFonts w:hint="eastAsia"/>
          <w:b/>
          <w:color w:val="auto"/>
          <w:sz w:val="32"/>
          <w:szCs w:val="32"/>
          <w:highlight w:val="none"/>
        </w:rPr>
        <w:t>测试与训练系统”采购的主要内容及技术参数</w:t>
      </w:r>
    </w:p>
    <w:p>
      <w:pPr>
        <w:spacing w:line="360" w:lineRule="auto"/>
        <w:jc w:val="left"/>
        <w:rPr>
          <w:rFonts w:hint="eastAsia" w:ascii="宋体" w:hAnsi="宋体"/>
          <w:b/>
          <w:color w:val="auto"/>
          <w:sz w:val="24"/>
          <w:highlight w:val="none"/>
        </w:rPr>
      </w:pPr>
      <w:r>
        <w:rPr>
          <w:rFonts w:hint="eastAsia" w:ascii="宋体" w:hAnsi="宋体"/>
          <w:b/>
          <w:color w:val="auto"/>
          <w:sz w:val="24"/>
          <w:highlight w:val="none"/>
        </w:rPr>
        <w:t>一、项目购置清单</w:t>
      </w:r>
    </w:p>
    <w:p>
      <w:pPr>
        <w:pStyle w:val="16"/>
        <w:ind w:left="420" w:leftChars="200" w:firstLine="0" w:firstLineChars="0"/>
        <w:jc w:val="left"/>
        <w:rPr>
          <w:rFonts w:hint="eastAsia"/>
          <w:b/>
          <w:color w:val="auto"/>
          <w:sz w:val="24"/>
          <w:highlight w:val="none"/>
        </w:rPr>
      </w:pPr>
      <w:r>
        <w:rPr>
          <w:rFonts w:hint="eastAsia"/>
          <w:b/>
          <w:color w:val="auto"/>
          <w:sz w:val="24"/>
          <w:highlight w:val="none"/>
        </w:rPr>
        <w:t>1.1 项目购置清单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4410"/>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noWrap w:val="0"/>
            <w:vAlign w:val="top"/>
          </w:tcPr>
          <w:p>
            <w:pPr>
              <w:pStyle w:val="16"/>
              <w:ind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w:t>
            </w:r>
          </w:p>
        </w:tc>
        <w:tc>
          <w:tcPr>
            <w:tcW w:w="4410" w:type="dxa"/>
            <w:noWrap w:val="0"/>
            <w:vAlign w:val="top"/>
          </w:tcPr>
          <w:p>
            <w:pPr>
              <w:pStyle w:val="16"/>
              <w:ind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内容明细</w:t>
            </w:r>
          </w:p>
        </w:tc>
        <w:tc>
          <w:tcPr>
            <w:tcW w:w="1461" w:type="dxa"/>
            <w:noWrap w:val="0"/>
            <w:vAlign w:val="top"/>
          </w:tcPr>
          <w:p>
            <w:pPr>
              <w:pStyle w:val="16"/>
              <w:ind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使用年限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4" w:type="dxa"/>
            <w:gridSpan w:val="3"/>
            <w:noWrap w:val="0"/>
            <w:vAlign w:val="top"/>
          </w:tcPr>
          <w:p>
            <w:pPr>
              <w:pStyle w:val="16"/>
              <w:ind w:firstLine="0" w:firstLineChars="0"/>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智慧测试云平台（软件系统）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noWrap w:val="0"/>
            <w:vAlign w:val="center"/>
          </w:tcPr>
          <w:p>
            <w:pPr>
              <w:pStyle w:val="16"/>
              <w:ind w:firstLine="0" w:firstLineChars="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软件系统</w:t>
            </w:r>
            <w:r>
              <w:rPr>
                <w:rFonts w:hint="eastAsia" w:ascii="宋体" w:hAnsi="宋体" w:eastAsia="宋体" w:cs="宋体"/>
                <w:b w:val="0"/>
                <w:bCs/>
                <w:color w:val="auto"/>
                <w:sz w:val="21"/>
                <w:szCs w:val="21"/>
                <w:highlight w:val="none"/>
              </w:rPr>
              <w:t>（含学生移动端）</w:t>
            </w:r>
          </w:p>
        </w:tc>
        <w:tc>
          <w:tcPr>
            <w:tcW w:w="4410" w:type="dxa"/>
            <w:noWrap w:val="0"/>
            <w:vAlign w:val="top"/>
          </w:tcPr>
          <w:p>
            <w:pPr>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局域网&amp;公网</w:t>
            </w:r>
          </w:p>
          <w:p>
            <w:pPr>
              <w:pStyle w:val="16"/>
              <w:ind w:firstLine="0" w:firstLine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（局域网系统主服务器由学校提供）</w:t>
            </w:r>
          </w:p>
        </w:tc>
        <w:tc>
          <w:tcPr>
            <w:tcW w:w="1461" w:type="dxa"/>
            <w:noWrap w:val="0"/>
            <w:vAlign w:val="center"/>
          </w:tcPr>
          <w:p>
            <w:pPr>
              <w:pStyle w:val="16"/>
              <w:ind w:firstLine="0" w:firstLine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4" w:type="dxa"/>
            <w:gridSpan w:val="3"/>
            <w:noWrap w:val="0"/>
            <w:vAlign w:val="top"/>
          </w:tcPr>
          <w:p>
            <w:pPr>
              <w:pStyle w:val="16"/>
              <w:ind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题库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noWrap w:val="0"/>
            <w:vAlign w:val="center"/>
          </w:tcPr>
          <w:p>
            <w:pPr>
              <w:pStyle w:val="16"/>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语言基础训练题库</w:t>
            </w:r>
          </w:p>
        </w:tc>
        <w:tc>
          <w:tcPr>
            <w:tcW w:w="4410" w:type="dxa"/>
            <w:noWrap w:val="0"/>
            <w:vAlign w:val="top"/>
          </w:tcPr>
          <w:p>
            <w:pPr>
              <w:pStyle w:val="16"/>
              <w:ind w:firstLine="0" w:firstLineChars="0"/>
              <w:jc w:val="center"/>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不低于10000道题</w:t>
            </w:r>
          </w:p>
        </w:tc>
        <w:tc>
          <w:tcPr>
            <w:tcW w:w="1461" w:type="dxa"/>
            <w:noWrap w:val="0"/>
            <w:vAlign w:val="top"/>
          </w:tcPr>
          <w:p>
            <w:pPr>
              <w:pStyle w:val="16"/>
              <w:ind w:firstLine="0" w:firstLine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3" w:type="dxa"/>
            <w:noWrap w:val="0"/>
            <w:vAlign w:val="center"/>
          </w:tcPr>
          <w:p>
            <w:pPr>
              <w:pStyle w:val="16"/>
              <w:ind w:firstLine="0" w:firstLineChars="0"/>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rPr>
              <w:t>硕士研究生英语入学考试题库</w:t>
            </w:r>
          </w:p>
        </w:tc>
        <w:tc>
          <w:tcPr>
            <w:tcW w:w="4410" w:type="dxa"/>
            <w:noWrap w:val="0"/>
            <w:vAlign w:val="center"/>
          </w:tcPr>
          <w:p>
            <w:pPr>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sz w:val="21"/>
                <w:szCs w:val="21"/>
                <w:highlight w:val="none"/>
                <w:lang w:eastAsia="zh-CN"/>
              </w:rPr>
              <w:t>不低于</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套试卷，</w:t>
            </w:r>
            <w:r>
              <w:rPr>
                <w:rFonts w:hint="eastAsia" w:ascii="宋体" w:hAnsi="宋体" w:eastAsia="宋体" w:cs="宋体"/>
                <w:sz w:val="21"/>
                <w:szCs w:val="21"/>
                <w:highlight w:val="none"/>
                <w:lang w:val="en-US" w:eastAsia="zh-CN"/>
              </w:rPr>
              <w:t>总题量不低于140</w:t>
            </w:r>
            <w:r>
              <w:rPr>
                <w:rFonts w:hint="eastAsia" w:ascii="宋体" w:hAnsi="宋体" w:eastAsia="宋体" w:cs="宋体"/>
                <w:sz w:val="21"/>
                <w:szCs w:val="21"/>
                <w:highlight w:val="none"/>
              </w:rPr>
              <w:t>道题</w:t>
            </w:r>
          </w:p>
        </w:tc>
        <w:tc>
          <w:tcPr>
            <w:tcW w:w="1461" w:type="dxa"/>
            <w:noWrap w:val="0"/>
            <w:vAlign w:val="center"/>
          </w:tcPr>
          <w:p>
            <w:pPr>
              <w:pStyle w:val="16"/>
              <w:ind w:firstLine="0" w:firstLineChars="0"/>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3" w:type="dxa"/>
            <w:noWrap w:val="0"/>
            <w:vAlign w:val="center"/>
          </w:tcPr>
          <w:p>
            <w:pPr>
              <w:pStyle w:val="16"/>
              <w:ind w:firstLine="0" w:firstLineChars="0"/>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rPr>
              <w:t>国才考试初级题库</w:t>
            </w:r>
          </w:p>
        </w:tc>
        <w:tc>
          <w:tcPr>
            <w:tcW w:w="4410" w:type="dxa"/>
            <w:noWrap w:val="0"/>
            <w:vAlign w:val="center"/>
          </w:tcPr>
          <w:p>
            <w:pPr>
              <w:pStyle w:val="16"/>
              <w:ind w:firstLine="0" w:firstLineChars="0"/>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rPr>
              <w:t>不低于</w:t>
            </w:r>
            <w:r>
              <w:rPr>
                <w:rFonts w:hint="eastAsia" w:ascii="宋体" w:hAnsi="宋体" w:eastAsia="宋体" w:cs="宋体"/>
                <w:bCs/>
                <w:sz w:val="21"/>
                <w:szCs w:val="21"/>
                <w:highlight w:val="none"/>
                <w:lang w:val="en-US" w:eastAsia="zh-CN"/>
              </w:rPr>
              <w:t>19</w:t>
            </w:r>
            <w:r>
              <w:rPr>
                <w:rFonts w:hint="eastAsia" w:ascii="宋体" w:hAnsi="宋体" w:eastAsia="宋体" w:cs="宋体"/>
                <w:bCs/>
                <w:sz w:val="21"/>
                <w:szCs w:val="21"/>
                <w:highlight w:val="none"/>
              </w:rPr>
              <w:t>套试卷，总题量不低于</w:t>
            </w:r>
            <w:r>
              <w:rPr>
                <w:rFonts w:hint="eastAsia" w:ascii="宋体" w:hAnsi="宋体" w:eastAsia="宋体" w:cs="宋体"/>
                <w:bCs/>
                <w:sz w:val="21"/>
                <w:szCs w:val="21"/>
                <w:highlight w:val="none"/>
                <w:lang w:val="en-US" w:eastAsia="zh-CN"/>
              </w:rPr>
              <w:t>15</w:t>
            </w:r>
            <w:r>
              <w:rPr>
                <w:rFonts w:hint="eastAsia" w:ascii="宋体" w:hAnsi="宋体" w:cs="宋体"/>
                <w:bCs/>
                <w:sz w:val="21"/>
                <w:szCs w:val="21"/>
                <w:highlight w:val="none"/>
                <w:lang w:val="en-US" w:eastAsia="zh-CN"/>
              </w:rPr>
              <w:t>0</w:t>
            </w:r>
            <w:r>
              <w:rPr>
                <w:rFonts w:hint="eastAsia" w:ascii="宋体" w:hAnsi="宋体" w:eastAsia="宋体" w:cs="宋体"/>
                <w:bCs/>
                <w:sz w:val="21"/>
                <w:szCs w:val="21"/>
                <w:highlight w:val="none"/>
              </w:rPr>
              <w:t>道题</w:t>
            </w:r>
          </w:p>
        </w:tc>
        <w:tc>
          <w:tcPr>
            <w:tcW w:w="1461" w:type="dxa"/>
            <w:noWrap w:val="0"/>
            <w:vAlign w:val="center"/>
          </w:tcPr>
          <w:p>
            <w:pPr>
              <w:pStyle w:val="16"/>
              <w:ind w:firstLine="0" w:firstLineChars="0"/>
              <w:jc w:val="center"/>
              <w:rPr>
                <w:rFonts w:hint="eastAsia" w:ascii="宋体" w:hAnsi="宋体" w:eastAsia="宋体" w:cs="宋体"/>
                <w:bCs/>
                <w:kern w:val="2"/>
                <w:sz w:val="21"/>
                <w:szCs w:val="21"/>
                <w:highlight w:val="none"/>
                <w:lang w:val="en-US" w:eastAsia="zh-CN" w:bidi="ar-SA"/>
              </w:rPr>
            </w:pPr>
            <w:r>
              <w:rPr>
                <w:rFonts w:hint="eastAsia" w:ascii="宋体" w:hAnsi="宋体" w:eastAsia="宋体" w:cs="宋体"/>
                <w:bCs/>
                <w:sz w:val="21"/>
                <w:szCs w:val="21"/>
                <w:highlight w:val="none"/>
              </w:rPr>
              <w:t>不限</w:t>
            </w:r>
          </w:p>
        </w:tc>
      </w:tr>
    </w:tbl>
    <w:p>
      <w:pPr>
        <w:pStyle w:val="16"/>
        <w:spacing w:line="360" w:lineRule="auto"/>
        <w:ind w:firstLine="0" w:firstLineChars="0"/>
        <w:jc w:val="left"/>
        <w:rPr>
          <w:rFonts w:ascii="宋体" w:hAnsi="宋体"/>
          <w:b/>
          <w:color w:val="auto"/>
          <w:sz w:val="24"/>
          <w:highlight w:val="none"/>
        </w:rPr>
      </w:pPr>
      <w:r>
        <w:rPr>
          <w:rFonts w:hint="eastAsia" w:ascii="宋体" w:hAnsi="宋体"/>
          <w:b/>
          <w:color w:val="auto"/>
          <w:sz w:val="24"/>
          <w:highlight w:val="none"/>
        </w:rPr>
        <w:t>二、技术参数要求</w:t>
      </w:r>
    </w:p>
    <w:p>
      <w:pPr>
        <w:pStyle w:val="16"/>
        <w:spacing w:line="400" w:lineRule="exact"/>
        <w:ind w:firstLine="241" w:firstLineChars="100"/>
        <w:jc w:val="left"/>
        <w:rPr>
          <w:rFonts w:hint="eastAsia"/>
          <w:b/>
          <w:color w:val="auto"/>
          <w:sz w:val="24"/>
          <w:highlight w:val="none"/>
        </w:rPr>
      </w:pPr>
      <w:r>
        <w:rPr>
          <w:rFonts w:hint="eastAsia"/>
          <w:b/>
          <w:color w:val="auto"/>
          <w:sz w:val="24"/>
          <w:highlight w:val="none"/>
        </w:rPr>
        <w:t>1.</w:t>
      </w:r>
      <w:r>
        <w:rPr>
          <w:rFonts w:hint="eastAsia"/>
          <w:b/>
          <w:color w:val="auto"/>
          <w:sz w:val="24"/>
          <w:highlight w:val="none"/>
          <w:lang w:val="en-US" w:eastAsia="zh-CN"/>
        </w:rPr>
        <w:t>1</w:t>
      </w:r>
      <w:r>
        <w:rPr>
          <w:rFonts w:hint="eastAsia"/>
          <w:b/>
          <w:color w:val="auto"/>
          <w:sz w:val="24"/>
          <w:highlight w:val="none"/>
        </w:rPr>
        <w:t>技术参数要求（以“▲”标示的内容为系统和题库重要技术或资质要求）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 ▲考试系统需为公网产品，且支持电脑浏览器、电脑客户端和手机移动端听说读写译全题型考试。</w:t>
      </w:r>
      <w:bookmarkStart w:id="7" w:name="_GoBack"/>
      <w:bookmarkEnd w:id="7"/>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w:t>
      </w:r>
      <w:r>
        <w:rPr>
          <w:rFonts w:hint="eastAsia"/>
          <w:b/>
          <w:color w:val="auto"/>
          <w:sz w:val="24"/>
          <w:highlight w:val="none"/>
        </w:rPr>
        <w:t>▲</w:t>
      </w:r>
      <w:r>
        <w:rPr>
          <w:rFonts w:hint="eastAsia" w:ascii="宋体" w:hAnsi="宋体" w:cs="宋体"/>
          <w:color w:val="auto"/>
          <w:sz w:val="24"/>
          <w:highlight w:val="none"/>
        </w:rPr>
        <w:t>考试系统（含移动端）有三级等保认证证书。</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1.2.3公网统一部署在云服务器，支持教师和学生随时随地在公网环境下登录使用</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1）系统需支持每分钟答题数据实时存储。断电、断网等意外情况发生后可随时恢复，继续答题；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2）可在学生进入考试前，完成试卷资源预加载；</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3）系统需支持考前或考中修改试题内容能自动生效，无需教师重新发布考试；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4）▲考试期间，支持随时下载已交卷考生的成绩和答题详情；</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5）系统需支持学生在规定的时间段内均可进入考试，超过规定时间段不可再进入考试，但进入考试后每个学生的考试时长相同。</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1.2.4 ▲具备独立校内端，支持公网+局域网考试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校级</w:t>
      </w:r>
      <w:r>
        <w:rPr>
          <w:rFonts w:hint="eastAsia" w:ascii="宋体" w:hAnsi="宋体" w:cs="宋体"/>
          <w:color w:val="auto"/>
          <w:sz w:val="24"/>
          <w:highlight w:val="none"/>
        </w:rPr>
        <w:t>考试可断开公网，支持学生在校内局域网考试。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2）对于局域网的考试，支持教师在局域网进行监考操作，可以为学生重置考试状态、重置听力等。</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3）局域网考试结束后，支持数据同步至公网统一阅卷、导出成绩等管理。</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4）校内端局域网考试支持多套试卷横向打乱或随机试卷，支持选项异序。</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1.2.5▲产品需包含配套的支持听说读写译全题型考试的学生考试移动端（手机APP）</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1）支持学生使用手机作答学校考试、班级测试或自主模考训练。</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2）支持学生在移动端查看作答测试及训练后的成绩报告。</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3）移动端考试数据可与PC端互通，并限制学生电脑和移动端同时进入考试。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4）移动端支持听、说、读、写、译、改错等各类英语题型。</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5）移动端支持综合语种，如日语、俄语、西班牙语、法语等语种考试。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6）移动端支持多套试卷横向打乱和随机试卷，支持选项异序。</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1.2.6▲限制多端同时考试，以防作弊</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1）限制同一学生账号在多处同时考试，有效防止作弊。</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2）限制需同时对B/S(Browser/Server)和C/S (Client/Server)生效。</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1.2.7▲系统需支持笔试和口试一卷作答</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1）系统支持同一试卷中包括听、说、读、写、译等各种题型。</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2）系统支持同一场考试中包括笔试和口试。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1.2.8在线考务管理系统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1）支持在线出题、组卷、审卷、考试、监考、阅卷以及成绩统计分析和归档等全流程的考务工作。</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2）考试期间，可以随时查看考试人数、交卷情况、答题情况。</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3）支持考前或考中可以随时加人，加人后考生能自动收到考试，无需教师重新发布考试。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4)▲系统支持监考时，可以基于考试情况为考生进行交卷、听力重置、延时、重置为考试中、标记作弊等操作。</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1.2.9▲登录历史轨迹</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1）系统支持记录考生进入试卷的登录数据，包括IP、终端类型、访问方式。</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2）系统支持记录登录设备详情，包括时间、终端类型（设备+访问方式）、WAN、设备唯一值。</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1.2.10考中视频抓拍</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 xml:space="preserve">1）系统支持通过调用考生设备自带的摄像头实现考中抓拍机制。 </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2）系统支持教师监考时，可以在考试详情页查看所抓拍的内容。</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1.2.11页面切换监控</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1）系统支持记录考中学生切出考试页面的次数，包括电脑端和移动端。</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2）系统支持教师在监考页面查看学生切出考试页面的具体记录。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1.2.12▲行为异常记录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1）系统支持根据考生作答过程中的异常状态，给出异常行为的提示。</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2）系统支持监考老师查看异常行为，包括更换设备、切出考试等具体记录。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1.2.13预约考试报名系统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1)系统需支持两种考试模式：管理员安排考生的教务类考试，以及学生可自主报名、自由参加的预约报名类考试。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2)管理员可以规定在一定时间段内允许学生报名的次数上限和设置报名有效期；在报名有效期内，学生可以取消报名。</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3)▲管理员基于实际报名情况直接安排考试考务，不需要另外新建考试，方便院校灵活组织赛事、模考、校本考试类考试。</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1.2.14试卷评阅系统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1）系统支持机评、师评、机评和师评结合等多种评阅方式。</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2）系统支持任一考试阶段（包括考中、考后阅卷阶段以及归档后）修改答案后自动重判功能，如试题答案变更，无需教师重新评阅。</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3）除客观题机评外，系统需支持写作、翻译等主观题机评，且不论是系统自带试题或教师自建试题，均可自动机评，全程无需教师定标参与机评。</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4）翻译评分引擎需对翻译题根据语言质量和翻译质量对译文进行评估。</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1.2.15写作智能评分</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1）▲写作智能评分引擎需对写作题进行自动评分，评阅包括作文总分、总评语，以及语言、内容、篇章结构、技术规范四个维度的分项分，分项分支持以星级及百分比的形式展现。</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1.2.16口语考试（支持口语考试，在线人工阅卷）</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1.2.17试题资源库具有合法授权</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题库需支持校方大学外语课堂教学和测试评估，题库内容和主题与该校大学外语教学、测试评估具有高度的一致性、适应性和相关性。题库具有合法使用权，并提供具有法律效力的证明材料，确保不存在对任何第三方的版权侵权行为。</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2）▲为保障使用校的合法权益，系统所使用的教材相配套原发题库具有合法使用权，需提供具备法律效力的相关证明材料，确保不存在对任何第三方的版权侵权行为。</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3)产品需包含模板、试题、试卷管理系统，配备国内外常见考试试卷模板结构。</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1.2.18自建题库系统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1)自建题库系统需支持听、说、读、写、译等题型。支持至少180种国内外考试常见题型，包含填空题、选择题、判断题、写作题、句子改错题、完形填空、阅读理解、翻译题等题型。</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2）教师可新建、复制、修改、删除模板、试卷、试题，模板可批量设置题型，可为试题设置分值。</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 支持教师手工选题组卷和系统自动组卷，可跨题库组卷。</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4）支持整卷录入，支持批量输入选项或小题等，试题录入时可进行一键暂存。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5）▲支持对试题进行批量发布、批量取消发布、批量变更题库、批量修改共享状态等操作。</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6）▲支持word导入试卷和试题，可对试卷结构和内容进行智能识别，试卷导入后可同时在题库中自动保存试卷中的试题。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7）▲支持创建试卷时，能够随时切换题库选题或手工录题。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8）支持批量组卷，并能选择批量组卷的重复率。</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9）系统需配备国内外常见考试试卷模板结构。</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10）支持试题、试卷、模板设置私有、共享属性。</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1.2.19试题标签成体系，可供教师出题进行快速定位筛选</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1）不同题型的试题包括如年份、主题、考点、场景、功能、体裁、难度等至少30套标签体系。</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2）每一道试题需包含被学校使用次数以及总体得分率的信息，方便教师在筛选试题时对试题使用情况以及难度进行把握。</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1.2.20文本内容转音频，可快速合成听力音频</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1）可将英文、中文的文本合成为音频。</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2）模板和试题中均可使用文本合成音频的功能。</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3）合成音频时，音频可根据需要调节语速，支持0.6-1.5倍速调整语速。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4）合成音频时，可一键去除段首的“M:”、“W:”、“Q:”角色标记，方便教师处理文本。</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5）合成音频时，有多种音色可以使用。</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6）支持普通独白、篇章朗读类的单音色音频合成。</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7）支持男女对话类型的多音色音频合成。</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1.2.21查重系统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1）支持对试题、试卷和题库进行查重操作。</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2）在自建题库内录入试题时，可将试题资源与系统中已存在的所有试题资源进行查重操作，重复试题需有标记，用户可基于查重结果判断是否继续录入。</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3）可对某一个题库内全部试题进行查重，并可导出查重结果。</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4）可对多套试卷间进行查重，并可导出查重结果。方便不同教师组卷的横向查重，确保多套试卷中无重复试题。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5）可对学校考试中的试卷间进行查重，还可将多场学校考试中所用试卷进行查重。可通过查重操作避免不同考试考到相同题目。</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6）▲试卷查重后支持一键去重操作，可一键替换试卷中的重复试题。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7）所有的查重操作均可以跨题库、跨题型。</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1.2.22自主训练模块系统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1）管理员可手动或自动设置学生自主训练题库及试卷。</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2）教师可查看学生自主训练情况，包括题目数量、套卷数量、模考得分率及在线时长等数据。</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3）学生可进行自主训练，包括基础训练至少10000道题目及学校自行设置的试卷；在训练记录中可查看错题簿及做题记录等。</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1.2.23数据统计分析系统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1）学生可以在成绩报告中查看个人答题详情和参考答案解析。</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2）教师可以查看各分数段得分统计、难度、干扰度在内的项目分析，并且一键导出。</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3）全校考试可导出试卷包、答卷、成绩，便于学校老师归档。</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1.2.24▲产品需支持多个考试成绩横向导出功能，并支持批量导出成绩对比表格</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1）系统支持教师批量导出同一学生多场考试的成绩，以方便对比。</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2）支持教师导出自己所教授班级一段时间内学生参与所有班级测试和学校考试的成绩。</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3）导出的成绩单提供原始分和百分制两类分数。</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1.2.25▲命题难度定级工具支持</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提供命题工具，对阅读素材进行难度定级并提供素材改编反馈。</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1.2.26▲中国英语学习者语料库支持</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提供中国英语学习者语料库，不仅能够帮助教师进行写作教学与语料库研究，而且能够为学生日常写作练习提供丰富的学习语料。</w:t>
      </w:r>
    </w:p>
    <w:p>
      <w:pPr>
        <w:spacing w:line="400" w:lineRule="exact"/>
        <w:rPr>
          <w:rFonts w:hint="eastAsia" w:ascii="宋体" w:hAnsi="宋体" w:cs="宋体"/>
          <w:b/>
          <w:bCs/>
          <w:color w:val="auto"/>
          <w:sz w:val="24"/>
          <w:highlight w:val="none"/>
        </w:rPr>
      </w:pPr>
      <w:r>
        <w:rPr>
          <w:rFonts w:hint="eastAsia" w:ascii="宋体" w:hAnsi="宋体" w:cs="宋体"/>
          <w:b/>
          <w:bCs/>
          <w:color w:val="auto"/>
          <w:sz w:val="24"/>
          <w:highlight w:val="none"/>
        </w:rPr>
        <w:t>1.3我校提供服务器及客户端配置参数要求</w:t>
      </w:r>
    </w:p>
    <w:p>
      <w:pPr>
        <w:spacing w:line="4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校内提供的软件运行环境及硬件服务器配置参数如下：</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1.3.1 服务器硬软件配置要求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（1）系统主服务器</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硬件配置要求：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CPU：至强四核1.6G×2</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内存：16G及以上</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 xml:space="preserve">硬盘：600G SAS×2 </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网卡：1000M 双网卡</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软件配置要求：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操作系统： CentOS 6.5 64位及以上版本</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1.3.2客户端硬软件配置要求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硬件配置要求：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Pentium IV及以上处理器</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100M网卡</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显示器支持1024*768（或更高）分辨率</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2GB内存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512M显卡内存</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50G以上硬盘空间</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16 bit以上、支持Windows操作系统的声卡</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耳麦</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软件配置要求：</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Windows XP/7/8/10操作系统</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推荐使用火狐或谷歌浏览器或360极速浏览器</w:t>
      </w:r>
    </w:p>
    <w:p>
      <w:pPr>
        <w:spacing w:line="400" w:lineRule="exact"/>
        <w:rPr>
          <w:rFonts w:hint="eastAsia" w:ascii="宋体" w:hAnsi="宋体" w:cs="宋体"/>
          <w:b/>
          <w:bCs/>
          <w:color w:val="auto"/>
          <w:sz w:val="24"/>
          <w:highlight w:val="none"/>
        </w:rPr>
      </w:pPr>
      <w:r>
        <w:rPr>
          <w:rFonts w:hint="eastAsia" w:ascii="宋体" w:hAnsi="宋体" w:cs="宋体"/>
          <w:b/>
          <w:bCs/>
          <w:color w:val="auto"/>
          <w:sz w:val="24"/>
          <w:highlight w:val="none"/>
        </w:rPr>
        <w:t>1.4 题库参数</w:t>
      </w:r>
    </w:p>
    <w:p>
      <w:pPr>
        <w:pStyle w:val="2"/>
        <w:numPr>
          <w:ilvl w:val="1"/>
          <w:numId w:val="0"/>
        </w:numPr>
        <w:spacing w:line="400" w:lineRule="exact"/>
        <w:rPr>
          <w:rFonts w:hint="eastAsia" w:ascii="宋体" w:hAnsi="宋体"/>
          <w:color w:val="auto"/>
          <w:kern w:val="0"/>
          <w:sz w:val="24"/>
          <w:szCs w:val="24"/>
          <w:highlight w:val="none"/>
        </w:rPr>
      </w:pPr>
      <w:bookmarkStart w:id="0" w:name="_Toc13195"/>
      <w:bookmarkStart w:id="1" w:name="_Toc49160741"/>
      <w:r>
        <w:rPr>
          <w:rFonts w:hint="eastAsia" w:ascii="宋体" w:hAnsi="宋体"/>
          <w:color w:val="auto"/>
          <w:kern w:val="0"/>
          <w:sz w:val="24"/>
          <w:szCs w:val="24"/>
          <w:highlight w:val="none"/>
        </w:rPr>
        <w:t>1.4.1语言基础训练题库</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试题数量：</w:t>
      </w:r>
      <w:r>
        <w:rPr>
          <w:rFonts w:hint="eastAsia"/>
          <w:color w:val="auto"/>
          <w:highlight w:val="none"/>
          <w:lang w:eastAsia="zh-CN"/>
        </w:rPr>
        <w:t>不低于</w:t>
      </w:r>
      <w:r>
        <w:rPr>
          <w:rFonts w:hint="eastAsia"/>
          <w:color w:val="auto"/>
          <w:highlight w:val="none"/>
          <w:lang w:val="en-US" w:eastAsia="zh-CN"/>
        </w:rPr>
        <w:t>10000</w:t>
      </w:r>
      <w:r>
        <w:rPr>
          <w:rFonts w:hint="eastAsia"/>
          <w:color w:val="auto"/>
          <w:highlight w:val="none"/>
        </w:rPr>
        <w:t>道试题；</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题库需包含考查英语基础能力的试题；</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题库题型包括：听写填空、单词听写、词汇选择、单词填空、词组单选、词组替换、半句填空、语法选择、语法填空、语法改错、半句翻译、完型填空、选词填空；</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题库需包含试题、听力音频、听力文本、答案内容；</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由全国高校中致力于教学的一线教师设计，语料需有选自国外原版英文网站，题目设计符合大学英语教学要求，能够全面训练大学生英语基础能力。试题需经过专业测评编辑的审核、编校、检测的质量保障流程。</w:t>
      </w:r>
    </w:p>
    <w:bookmarkEnd w:id="0"/>
    <w:bookmarkEnd w:id="1"/>
    <w:p>
      <w:pPr>
        <w:numPr>
          <w:ilvl w:val="1"/>
          <w:numId w:val="0"/>
        </w:numPr>
        <w:spacing w:line="400" w:lineRule="exact"/>
        <w:jc w:val="left"/>
        <w:rPr>
          <w:rFonts w:hint="eastAsia" w:ascii="宋体" w:hAnsi="宋体" w:eastAsia="宋体" w:cs="宋体"/>
          <w:kern w:val="0"/>
          <w:sz w:val="24"/>
        </w:rPr>
      </w:pPr>
      <w:r>
        <w:rPr>
          <w:rFonts w:hint="eastAsia" w:ascii="宋体" w:hAnsi="宋体" w:eastAsia="宋体" w:cs="宋体"/>
          <w:kern w:val="0"/>
          <w:sz w:val="24"/>
        </w:rPr>
        <w:t>1.4.2</w:t>
      </w:r>
      <w:bookmarkStart w:id="2" w:name="_Toc100238014"/>
      <w:r>
        <w:rPr>
          <w:rFonts w:hint="eastAsia" w:ascii="宋体" w:hAnsi="宋体" w:eastAsia="宋体" w:cs="宋体"/>
          <w:kern w:val="0"/>
          <w:sz w:val="24"/>
        </w:rPr>
        <w:t>硕士研究生英语入学考试题库</w:t>
      </w:r>
      <w:bookmarkEnd w:id="2"/>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试题数量：</w:t>
      </w:r>
      <w:r>
        <w:rPr>
          <w:rFonts w:hint="eastAsia"/>
          <w:color w:val="auto"/>
          <w:highlight w:val="none"/>
          <w:lang w:eastAsia="zh-CN"/>
        </w:rPr>
        <w:t>不低于</w:t>
      </w:r>
      <w:r>
        <w:rPr>
          <w:rFonts w:hint="eastAsia"/>
          <w:color w:val="auto"/>
          <w:highlight w:val="none"/>
          <w:lang w:val="en-US" w:eastAsia="zh-CN"/>
        </w:rPr>
        <w:t>15</w:t>
      </w:r>
      <w:r>
        <w:rPr>
          <w:rFonts w:hint="eastAsia"/>
          <w:color w:val="auto"/>
          <w:highlight w:val="none"/>
        </w:rPr>
        <w:t>套试卷（</w:t>
      </w:r>
      <w:r>
        <w:rPr>
          <w:rFonts w:hint="eastAsia"/>
          <w:color w:val="auto"/>
          <w:highlight w:val="none"/>
          <w:lang w:val="en-US" w:eastAsia="zh-CN"/>
        </w:rPr>
        <w:t>不低于140</w:t>
      </w:r>
      <w:r>
        <w:rPr>
          <w:rFonts w:hint="eastAsia"/>
          <w:color w:val="auto"/>
          <w:highlight w:val="none"/>
        </w:rPr>
        <w:t>道试题）；</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题库需包含硕士研究生英语入学考试真题、模拟题；</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题库需覆盖硕士研究生英语入学考试的所有题型，包括：完型填空、阅读理解、篇章理解、英译汉_文章划线部分翻译、看图写作、短文写作；</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题库需包含试题、答案、解析、标签（主题、话题、体裁）等内容；</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试题严格参照硕士研究生英语入学考试大纲编写，在选材、难度等内容上同硕士研究生英语入学考试真题尽量保持高度一致。试题需经过专业测评编辑的审核、编校、检测的质量保障流程。</w:t>
      </w:r>
    </w:p>
    <w:p>
      <w:pPr>
        <w:numPr>
          <w:ilvl w:val="1"/>
          <w:numId w:val="0"/>
        </w:numPr>
        <w:spacing w:line="400" w:lineRule="exact"/>
        <w:jc w:val="left"/>
        <w:rPr>
          <w:rFonts w:hint="eastAsia" w:ascii="宋体" w:hAnsi="宋体" w:eastAsia="宋体" w:cs="宋体"/>
          <w:kern w:val="0"/>
          <w:sz w:val="24"/>
        </w:rPr>
      </w:pPr>
      <w:bookmarkStart w:id="3" w:name="_Toc7438"/>
      <w:bookmarkStart w:id="4" w:name="_Toc49160753"/>
      <w:r>
        <w:rPr>
          <w:rFonts w:hint="eastAsia" w:ascii="宋体" w:hAnsi="宋体" w:eastAsia="宋体" w:cs="宋体"/>
          <w:kern w:val="0"/>
          <w:sz w:val="24"/>
        </w:rPr>
        <w:t>1.4.3国才考试初级题库</w:t>
      </w:r>
      <w:bookmarkEnd w:id="3"/>
      <w:bookmarkEnd w:id="4"/>
    </w:p>
    <w:p>
      <w:pPr>
        <w:pStyle w:val="15"/>
        <w:widowControl w:val="0"/>
        <w:numPr>
          <w:ilvl w:val="0"/>
          <w:numId w:val="2"/>
        </w:numPr>
        <w:spacing w:line="360" w:lineRule="auto"/>
        <w:ind w:firstLineChars="0"/>
        <w:jc w:val="both"/>
        <w:rPr>
          <w:rFonts w:hint="eastAsia"/>
          <w:color w:val="auto"/>
          <w:highlight w:val="none"/>
        </w:rPr>
      </w:pPr>
      <w:bookmarkStart w:id="5" w:name="_Toc13495"/>
      <w:bookmarkStart w:id="6" w:name="_Toc49160759"/>
      <w:r>
        <w:rPr>
          <w:rFonts w:hint="eastAsia"/>
          <w:color w:val="auto"/>
          <w:highlight w:val="none"/>
        </w:rPr>
        <w:t>试题数量：</w:t>
      </w:r>
      <w:r>
        <w:rPr>
          <w:rFonts w:hint="eastAsia"/>
          <w:color w:val="auto"/>
          <w:highlight w:val="none"/>
          <w:lang w:eastAsia="zh-CN"/>
        </w:rPr>
        <w:t>不低于</w:t>
      </w:r>
      <w:r>
        <w:rPr>
          <w:rFonts w:hint="eastAsia"/>
          <w:color w:val="auto"/>
          <w:highlight w:val="none"/>
        </w:rPr>
        <w:t>1</w:t>
      </w:r>
      <w:r>
        <w:rPr>
          <w:rFonts w:hint="eastAsia"/>
          <w:color w:val="auto"/>
          <w:highlight w:val="none"/>
          <w:lang w:val="en-US" w:eastAsia="zh-CN"/>
        </w:rPr>
        <w:t>9</w:t>
      </w:r>
      <w:r>
        <w:rPr>
          <w:rFonts w:hint="eastAsia"/>
          <w:color w:val="auto"/>
          <w:highlight w:val="none"/>
        </w:rPr>
        <w:t>套试卷（</w:t>
      </w:r>
      <w:r>
        <w:rPr>
          <w:rFonts w:hint="eastAsia"/>
          <w:color w:val="auto"/>
          <w:highlight w:val="none"/>
          <w:lang w:val="en-US" w:eastAsia="zh-CN"/>
        </w:rPr>
        <w:t>不低于150</w:t>
      </w:r>
      <w:r>
        <w:rPr>
          <w:rFonts w:hint="eastAsia"/>
          <w:color w:val="auto"/>
          <w:highlight w:val="none"/>
        </w:rPr>
        <w:t>道题）；</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题库需包含国才初级考试真题、样题和模拟试卷；</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题库需覆盖国才初级考试的所有题型，包括：建立联系、交谈记录、联络业务、产品说明、浏览材料、分析材料、整理材料、撰写邮件；</w:t>
      </w:r>
    </w:p>
    <w:p>
      <w:pPr>
        <w:pStyle w:val="15"/>
        <w:widowControl w:val="0"/>
        <w:numPr>
          <w:ilvl w:val="0"/>
          <w:numId w:val="2"/>
        </w:numPr>
        <w:spacing w:line="360" w:lineRule="auto"/>
        <w:ind w:firstLineChars="0"/>
        <w:jc w:val="both"/>
        <w:rPr>
          <w:rFonts w:hint="eastAsia"/>
          <w:color w:val="auto"/>
          <w:highlight w:val="none"/>
        </w:rPr>
      </w:pPr>
      <w:r>
        <w:rPr>
          <w:rFonts w:hint="eastAsia"/>
          <w:color w:val="auto"/>
          <w:highlight w:val="none"/>
        </w:rPr>
        <w:t>题库需包含试题、听力音频、听力脚本、参考答案等内容；</w:t>
      </w:r>
    </w:p>
    <w:p>
      <w:pPr>
        <w:pStyle w:val="15"/>
        <w:widowControl w:val="0"/>
        <w:numPr>
          <w:ilvl w:val="0"/>
          <w:numId w:val="2"/>
        </w:numPr>
        <w:spacing w:line="360" w:lineRule="auto"/>
        <w:ind w:firstLineChars="0"/>
        <w:jc w:val="both"/>
        <w:rPr>
          <w:color w:val="auto"/>
          <w:highlight w:val="none"/>
        </w:rPr>
      </w:pPr>
      <w:r>
        <w:rPr>
          <w:rFonts w:hint="eastAsia"/>
          <w:color w:val="auto"/>
          <w:highlight w:val="none"/>
        </w:rPr>
        <w:t>题库需由高校的杰出教授和优秀讲师组编写，所编写的试题主题定位准确，选材地道丰富，各方面贴近真题，可有效帮助考生进行实战演练，积极备考。试题需经过专业测评编辑的审核、编校、检测的质量保障流程。</w:t>
      </w:r>
      <w:bookmarkEnd w:id="5"/>
      <w:bookmarkEnd w:id="6"/>
    </w:p>
    <w:p>
      <w:pPr>
        <w:pStyle w:val="16"/>
        <w:spacing w:line="400" w:lineRule="exact"/>
        <w:ind w:firstLine="0" w:firstLineChars="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1.4.</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题库</w:t>
      </w:r>
      <w:r>
        <w:rPr>
          <w:rFonts w:hint="eastAsia" w:ascii="宋体" w:hAnsi="宋体" w:eastAsia="宋体" w:cs="宋体"/>
          <w:color w:val="auto"/>
          <w:sz w:val="24"/>
          <w:highlight w:val="none"/>
          <w:lang w:val="en-US" w:eastAsia="zh-CN"/>
        </w:rPr>
        <w:t>题目数量统计规则说明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按照不同类别题型的特点，1道题目有以下三种形式：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1）阅读、完型填空、听力类题目：一篇阅读、完型填空或听力文本以及基于该文本设计的所有小题目为系统的1道题目；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2）词汇、语法、句子翻译等基础类题目：一句题目内容以及基于该题目内容设计的1道题目为系统的1道题目；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3）写作或短文翻译类题目：1道写作或短文翻译为系统的1道题目。</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06" w:type="dxa"/>
            <w:noWrap w:val="0"/>
            <w:vAlign w:val="center"/>
          </w:tcPr>
          <w:p>
            <w:pPr>
              <w:spacing w:line="288" w:lineRule="auto"/>
              <w:rPr>
                <w:rFonts w:hint="eastAsia" w:ascii="宋体" w:hAnsi="宋体" w:eastAsia="宋体" w:cs="宋体"/>
                <w:b/>
                <w:color w:val="auto"/>
                <w:sz w:val="24"/>
                <w:szCs w:val="24"/>
                <w:highlight w:val="none"/>
              </w:rPr>
            </w:pPr>
            <w:r>
              <w:rPr>
                <w:rFonts w:hint="eastAsia" w:ascii="宋体" w:hAnsi="宋体" w:eastAsia="宋体" w:cs="宋体"/>
                <w:b/>
                <w:sz w:val="24"/>
              </w:rPr>
              <w:t>题库名称</w:t>
            </w:r>
          </w:p>
        </w:tc>
        <w:tc>
          <w:tcPr>
            <w:tcW w:w="6416" w:type="dxa"/>
            <w:noWrap w:val="0"/>
            <w:vAlign w:val="center"/>
          </w:tcPr>
          <w:p>
            <w:pPr>
              <w:spacing w:line="288" w:lineRule="auto"/>
              <w:rPr>
                <w:rFonts w:hint="default" w:ascii="宋体" w:hAnsi="宋体" w:eastAsia="宋体" w:cs="宋体"/>
                <w:b/>
                <w:color w:val="auto"/>
                <w:sz w:val="24"/>
                <w:szCs w:val="24"/>
                <w:highlight w:val="none"/>
                <w:lang w:val="en-US" w:eastAsia="zh-CN"/>
              </w:rPr>
            </w:pPr>
            <w:r>
              <w:rPr>
                <w:rFonts w:hint="eastAsia" w:ascii="宋体" w:hAnsi="宋体" w:eastAsia="宋体" w:cs="宋体"/>
                <w:b/>
                <w:sz w:val="24"/>
              </w:rPr>
              <w:t>每套整套试卷所包含的题型及题量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2106" w:type="dxa"/>
            <w:noWrap w:val="0"/>
            <w:vAlign w:val="center"/>
          </w:tcPr>
          <w:p>
            <w:pPr>
              <w:spacing w:line="360" w:lineRule="exact"/>
              <w:rPr>
                <w:rFonts w:hint="eastAsia" w:ascii="宋体" w:hAnsi="宋体" w:eastAsia="宋体" w:cs="宋体"/>
                <w:color w:val="auto"/>
                <w:sz w:val="24"/>
                <w:szCs w:val="24"/>
                <w:highlight w:val="none"/>
              </w:rPr>
            </w:pPr>
            <w:r>
              <w:rPr>
                <w:rFonts w:hint="eastAsia" w:ascii="宋体" w:hAnsi="宋体" w:eastAsia="宋体" w:cs="宋体"/>
                <w:szCs w:val="21"/>
              </w:rPr>
              <w:t>语言基础训练题库</w:t>
            </w:r>
          </w:p>
        </w:tc>
        <w:tc>
          <w:tcPr>
            <w:tcW w:w="6416" w:type="dxa"/>
            <w:noWrap w:val="0"/>
            <w:vAlign w:val="center"/>
          </w:tcPr>
          <w:p>
            <w:pPr>
              <w:spacing w:line="360" w:lineRule="exact"/>
              <w:rPr>
                <w:rFonts w:hint="eastAsia" w:ascii="宋体" w:hAnsi="宋体" w:eastAsia="宋体" w:cs="宋体"/>
                <w:color w:val="auto"/>
                <w:sz w:val="24"/>
                <w:szCs w:val="24"/>
                <w:highlight w:val="none"/>
              </w:rPr>
            </w:pPr>
            <w:r>
              <w:rPr>
                <w:rFonts w:hint="eastAsia" w:ascii="宋体" w:hAnsi="宋体" w:eastAsia="宋体" w:cs="宋体"/>
                <w:szCs w:val="21"/>
              </w:rPr>
              <w:t>均是题目，无整套试卷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2106" w:type="dxa"/>
            <w:noWrap w:val="0"/>
            <w:vAlign w:val="center"/>
          </w:tcPr>
          <w:p>
            <w:pPr>
              <w:spacing w:line="360" w:lineRule="exact"/>
              <w:rPr>
                <w:rFonts w:hint="eastAsia" w:ascii="宋体" w:hAnsi="宋体" w:eastAsia="宋体" w:cs="宋体"/>
                <w:kern w:val="2"/>
                <w:sz w:val="21"/>
                <w:szCs w:val="21"/>
                <w:lang w:val="en-US" w:eastAsia="zh-CN" w:bidi="ar-SA"/>
              </w:rPr>
            </w:pPr>
            <w:r>
              <w:rPr>
                <w:rFonts w:hint="eastAsia" w:ascii="宋体" w:hAnsi="宋体" w:eastAsia="宋体" w:cs="宋体"/>
                <w:szCs w:val="21"/>
              </w:rPr>
              <w:t>硕士研究生英语入学考试题库</w:t>
            </w:r>
          </w:p>
        </w:tc>
        <w:tc>
          <w:tcPr>
            <w:tcW w:w="6416" w:type="dxa"/>
            <w:noWrap w:val="0"/>
            <w:vAlign w:val="center"/>
          </w:tcPr>
          <w:p>
            <w:pPr>
              <w:spacing w:line="360" w:lineRule="exact"/>
              <w:rPr>
                <w:rFonts w:ascii="宋体" w:hAnsi="宋体" w:eastAsia="宋体" w:cs="宋体"/>
                <w:szCs w:val="21"/>
              </w:rPr>
            </w:pPr>
            <w:r>
              <w:rPr>
                <w:rFonts w:hint="eastAsia" w:ascii="宋体" w:hAnsi="宋体" w:eastAsia="宋体" w:cs="宋体"/>
                <w:szCs w:val="21"/>
              </w:rPr>
              <w:t>共9道题目：</w:t>
            </w:r>
          </w:p>
          <w:p>
            <w:pPr>
              <w:spacing w:line="288" w:lineRule="auto"/>
              <w:rPr>
                <w:rFonts w:ascii="宋体" w:hAnsi="宋体" w:eastAsia="宋体" w:cs="宋体"/>
                <w:szCs w:val="21"/>
              </w:rPr>
            </w:pPr>
            <w:r>
              <w:rPr>
                <w:rFonts w:hint="eastAsia" w:ascii="宋体" w:hAnsi="宋体" w:eastAsia="宋体" w:cs="宋体"/>
                <w:szCs w:val="21"/>
              </w:rPr>
              <w:t>·完型填空1道</w:t>
            </w:r>
            <w:r>
              <w:rPr>
                <w:rFonts w:hint="eastAsia" w:ascii="宋体" w:hAnsi="宋体" w:eastAsia="宋体" w:cs="宋体"/>
                <w:szCs w:val="21"/>
              </w:rPr>
              <w:br w:type="textWrapping"/>
            </w:r>
            <w:r>
              <w:rPr>
                <w:rFonts w:hint="eastAsia" w:ascii="宋体" w:hAnsi="宋体" w:eastAsia="宋体" w:cs="宋体"/>
                <w:szCs w:val="21"/>
              </w:rPr>
              <w:t>·阅读理解5道</w:t>
            </w:r>
          </w:p>
          <w:p>
            <w:pPr>
              <w:spacing w:line="288" w:lineRule="auto"/>
              <w:rPr>
                <w:rFonts w:ascii="宋体" w:hAnsi="宋体" w:eastAsia="宋体" w:cs="宋体"/>
                <w:szCs w:val="21"/>
              </w:rPr>
            </w:pPr>
            <w:r>
              <w:rPr>
                <w:rFonts w:hint="eastAsia" w:ascii="宋体" w:hAnsi="宋体" w:eastAsia="宋体" w:cs="宋体"/>
                <w:szCs w:val="21"/>
              </w:rPr>
              <w:t>·文章划线部分翻译1道</w:t>
            </w:r>
          </w:p>
          <w:p>
            <w:pPr>
              <w:spacing w:line="360" w:lineRule="exact"/>
              <w:rPr>
                <w:rFonts w:hint="eastAsia" w:ascii="宋体" w:hAnsi="宋体" w:eastAsia="宋体" w:cs="宋体"/>
                <w:kern w:val="2"/>
                <w:sz w:val="21"/>
                <w:szCs w:val="21"/>
                <w:lang w:val="en-US" w:eastAsia="zh-CN" w:bidi="ar-SA"/>
              </w:rPr>
            </w:pPr>
            <w:r>
              <w:rPr>
                <w:rFonts w:hint="eastAsia" w:ascii="宋体" w:hAnsi="宋体" w:eastAsia="宋体" w:cs="宋体"/>
                <w:szCs w:val="21"/>
              </w:rPr>
              <w:t>·写作2道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2106" w:type="dxa"/>
            <w:noWrap w:val="0"/>
            <w:vAlign w:val="center"/>
          </w:tcPr>
          <w:p>
            <w:pPr>
              <w:spacing w:line="360" w:lineRule="exact"/>
              <w:rPr>
                <w:rFonts w:hint="eastAsia" w:ascii="宋体" w:hAnsi="宋体" w:eastAsia="宋体" w:cs="宋体"/>
                <w:kern w:val="2"/>
                <w:sz w:val="21"/>
                <w:szCs w:val="21"/>
                <w:highlight w:val="yellow"/>
                <w:lang w:val="en-US" w:eastAsia="zh-CN" w:bidi="ar-SA"/>
              </w:rPr>
            </w:pPr>
            <w:r>
              <w:rPr>
                <w:rFonts w:hint="eastAsia" w:ascii="宋体" w:hAnsi="宋体" w:eastAsia="宋体" w:cs="宋体"/>
                <w:szCs w:val="21"/>
              </w:rPr>
              <w:t>国才考试初级题库</w:t>
            </w:r>
          </w:p>
        </w:tc>
        <w:tc>
          <w:tcPr>
            <w:tcW w:w="6416" w:type="dxa"/>
            <w:noWrap w:val="0"/>
            <w:vAlign w:val="center"/>
          </w:tcPr>
          <w:p>
            <w:pPr>
              <w:spacing w:line="360" w:lineRule="exact"/>
              <w:rPr>
                <w:rFonts w:ascii="宋体" w:hAnsi="宋体" w:eastAsia="宋体" w:cs="宋体"/>
                <w:szCs w:val="21"/>
              </w:rPr>
            </w:pPr>
            <w:r>
              <w:rPr>
                <w:rFonts w:hint="eastAsia" w:ascii="宋体" w:hAnsi="宋体" w:eastAsia="宋体" w:cs="宋体"/>
                <w:szCs w:val="21"/>
              </w:rPr>
              <w:t>共8道题目：</w:t>
            </w:r>
          </w:p>
          <w:p>
            <w:pPr>
              <w:spacing w:line="360" w:lineRule="exact"/>
              <w:rPr>
                <w:rFonts w:ascii="宋体" w:hAnsi="宋体" w:eastAsia="宋体" w:cs="宋体"/>
                <w:szCs w:val="21"/>
              </w:rPr>
            </w:pPr>
            <w:r>
              <w:rPr>
                <w:rFonts w:hint="eastAsia" w:ascii="宋体" w:hAnsi="宋体" w:eastAsia="宋体" w:cs="宋体"/>
                <w:szCs w:val="21"/>
              </w:rPr>
              <w:t>·建立联系1道</w:t>
            </w:r>
          </w:p>
          <w:p>
            <w:pPr>
              <w:spacing w:line="360" w:lineRule="exact"/>
              <w:rPr>
                <w:rFonts w:ascii="宋体" w:hAnsi="宋体" w:eastAsia="宋体" w:cs="宋体"/>
                <w:szCs w:val="21"/>
              </w:rPr>
            </w:pPr>
            <w:r>
              <w:rPr>
                <w:rFonts w:hint="eastAsia" w:ascii="宋体" w:hAnsi="宋体" w:eastAsia="宋体" w:cs="宋体"/>
                <w:szCs w:val="21"/>
              </w:rPr>
              <w:t>·交谈记录1道</w:t>
            </w:r>
          </w:p>
          <w:p>
            <w:pPr>
              <w:spacing w:line="360" w:lineRule="exact"/>
              <w:rPr>
                <w:rFonts w:ascii="宋体" w:hAnsi="宋体" w:eastAsia="宋体" w:cs="宋体"/>
                <w:szCs w:val="21"/>
              </w:rPr>
            </w:pPr>
            <w:r>
              <w:rPr>
                <w:rFonts w:hint="eastAsia" w:ascii="宋体" w:hAnsi="宋体" w:eastAsia="宋体" w:cs="宋体"/>
                <w:szCs w:val="21"/>
              </w:rPr>
              <w:t>·联络业务1道</w:t>
            </w:r>
          </w:p>
          <w:p>
            <w:pPr>
              <w:spacing w:line="360" w:lineRule="exact"/>
              <w:rPr>
                <w:rFonts w:ascii="宋体" w:hAnsi="宋体" w:eastAsia="宋体" w:cs="宋体"/>
                <w:szCs w:val="21"/>
              </w:rPr>
            </w:pPr>
            <w:r>
              <w:rPr>
                <w:rFonts w:hint="eastAsia" w:ascii="宋体" w:hAnsi="宋体" w:eastAsia="宋体" w:cs="宋体"/>
                <w:szCs w:val="21"/>
              </w:rPr>
              <w:t>·产品说明1道</w:t>
            </w:r>
          </w:p>
          <w:p>
            <w:pPr>
              <w:spacing w:line="360" w:lineRule="exact"/>
              <w:rPr>
                <w:rFonts w:ascii="宋体" w:hAnsi="宋体" w:eastAsia="宋体" w:cs="宋体"/>
                <w:szCs w:val="21"/>
              </w:rPr>
            </w:pPr>
            <w:r>
              <w:rPr>
                <w:rFonts w:hint="eastAsia" w:ascii="宋体" w:hAnsi="宋体" w:eastAsia="宋体" w:cs="宋体"/>
                <w:szCs w:val="21"/>
              </w:rPr>
              <w:t>·浏览材料1道</w:t>
            </w:r>
          </w:p>
          <w:p>
            <w:pPr>
              <w:spacing w:line="360" w:lineRule="exact"/>
              <w:rPr>
                <w:rFonts w:ascii="宋体" w:hAnsi="宋体" w:eastAsia="宋体" w:cs="宋体"/>
                <w:szCs w:val="21"/>
              </w:rPr>
            </w:pPr>
            <w:r>
              <w:rPr>
                <w:rFonts w:hint="eastAsia" w:ascii="宋体" w:hAnsi="宋体" w:eastAsia="宋体" w:cs="宋体"/>
                <w:szCs w:val="21"/>
              </w:rPr>
              <w:t>·分析材料1道</w:t>
            </w:r>
          </w:p>
          <w:p>
            <w:pPr>
              <w:spacing w:line="360" w:lineRule="exact"/>
              <w:rPr>
                <w:rFonts w:ascii="宋体" w:hAnsi="宋体" w:eastAsia="宋体" w:cs="宋体"/>
                <w:szCs w:val="21"/>
              </w:rPr>
            </w:pPr>
            <w:r>
              <w:rPr>
                <w:rFonts w:hint="eastAsia" w:ascii="宋体" w:hAnsi="宋体" w:eastAsia="宋体" w:cs="宋体"/>
                <w:szCs w:val="21"/>
              </w:rPr>
              <w:t>·整理材料1道</w:t>
            </w:r>
          </w:p>
          <w:p>
            <w:pPr>
              <w:spacing w:line="360" w:lineRule="exact"/>
              <w:rPr>
                <w:rFonts w:hint="eastAsia" w:ascii="宋体" w:hAnsi="宋体" w:eastAsia="宋体" w:cs="宋体"/>
                <w:kern w:val="2"/>
                <w:sz w:val="21"/>
                <w:szCs w:val="21"/>
                <w:highlight w:val="yellow"/>
                <w:lang w:val="en-US" w:eastAsia="zh-CN" w:bidi="ar-SA"/>
              </w:rPr>
            </w:pPr>
            <w:r>
              <w:rPr>
                <w:rFonts w:hint="eastAsia" w:ascii="宋体" w:hAnsi="宋体" w:eastAsia="宋体" w:cs="宋体"/>
                <w:szCs w:val="21"/>
              </w:rPr>
              <w:t>·撰写邮件1道</w:t>
            </w:r>
          </w:p>
        </w:tc>
      </w:tr>
    </w:tbl>
    <w:p>
      <w:pPr>
        <w:spacing w:line="400" w:lineRule="exact"/>
        <w:rPr>
          <w:rFonts w:hint="eastAsia" w:ascii="宋体" w:hAnsi="宋体" w:cs="宋体"/>
          <w:b/>
          <w:bCs/>
          <w:color w:val="auto"/>
          <w:sz w:val="24"/>
          <w:highlight w:val="none"/>
        </w:rPr>
      </w:pPr>
    </w:p>
    <w:p>
      <w:pPr>
        <w:spacing w:line="400" w:lineRule="exact"/>
        <w:rPr>
          <w:rFonts w:hint="eastAsia" w:ascii="宋体" w:hAnsi="宋体" w:cs="宋体"/>
          <w:b/>
          <w:bCs/>
          <w:color w:val="auto"/>
          <w:sz w:val="24"/>
          <w:highlight w:val="none"/>
        </w:rPr>
      </w:pPr>
      <w:r>
        <w:rPr>
          <w:rFonts w:hint="eastAsia" w:ascii="宋体" w:hAnsi="宋体" w:cs="宋体"/>
          <w:b/>
          <w:bCs/>
          <w:color w:val="auto"/>
          <w:sz w:val="24"/>
          <w:highlight w:val="none"/>
        </w:rPr>
        <w:t>1.5完善的配套售后服务</w:t>
      </w:r>
    </w:p>
    <w:p>
      <w:pPr>
        <w:spacing w:line="400" w:lineRule="exact"/>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5.1</w:t>
      </w:r>
      <w:r>
        <w:rPr>
          <w:rFonts w:hint="eastAsia" w:ascii="宋体" w:hAnsi="宋体" w:cs="宋体"/>
          <w:color w:val="auto"/>
          <w:sz w:val="24"/>
          <w:highlight w:val="none"/>
        </w:rPr>
        <w:t>质保期3年，提供交货、验货、安装、调试、培训、检验及系统集成一条龙服务。服务期满后，</w:t>
      </w:r>
      <w:r>
        <w:rPr>
          <w:rFonts w:hint="eastAsia" w:ascii="宋体" w:hAnsi="宋体" w:cs="宋体"/>
          <w:color w:val="auto"/>
          <w:sz w:val="24"/>
          <w:highlight w:val="none"/>
          <w:lang w:eastAsia="zh-CN"/>
        </w:rPr>
        <w:t>系统</w:t>
      </w:r>
      <w:r>
        <w:rPr>
          <w:rFonts w:hint="eastAsia" w:ascii="宋体" w:hAnsi="宋体" w:cs="宋体"/>
          <w:color w:val="auto"/>
          <w:sz w:val="24"/>
          <w:highlight w:val="none"/>
        </w:rPr>
        <w:t>更新迭代不收取费用</w:t>
      </w:r>
      <w:r>
        <w:rPr>
          <w:rFonts w:hint="eastAsia" w:ascii="宋体" w:hAnsi="宋体" w:cs="宋体"/>
          <w:color w:val="auto"/>
          <w:sz w:val="24"/>
          <w:highlight w:val="none"/>
          <w:lang w:eastAsia="zh-CN"/>
        </w:rPr>
        <w:t>（不包括题库内容更新）</w:t>
      </w:r>
      <w:r>
        <w:rPr>
          <w:rFonts w:hint="eastAsia" w:ascii="宋体" w:hAnsi="宋体" w:cs="宋体"/>
          <w:color w:val="auto"/>
          <w:sz w:val="24"/>
          <w:highlight w:val="none"/>
        </w:rPr>
        <w:t>。</w:t>
      </w:r>
    </w:p>
    <w:p>
      <w:pPr>
        <w:spacing w:line="400" w:lineRule="exact"/>
        <w:rPr>
          <w:color w:val="auto"/>
          <w:highlight w:val="none"/>
        </w:rPr>
      </w:pPr>
      <w:r>
        <w:rPr>
          <w:rFonts w:hint="eastAsia" w:ascii="宋体" w:hAnsi="宋体" w:cs="宋体"/>
          <w:color w:val="auto"/>
          <w:sz w:val="24"/>
          <w:highlight w:val="none"/>
          <w:lang w:val="en-US" w:eastAsia="zh-CN"/>
        </w:rPr>
        <w:t>1.5.2质保期内，</w:t>
      </w:r>
      <w:r>
        <w:rPr>
          <w:rFonts w:hint="eastAsia" w:ascii="宋体" w:hAnsi="宋体" w:cs="宋体"/>
          <w:color w:val="auto"/>
          <w:sz w:val="24"/>
          <w:highlight w:val="none"/>
        </w:rPr>
        <w:t>免费对系统进行定期巡检、维护保养，并提供技术服务支持，以及线上、线下产品使用培训各1次，提供使用手册、操作录屏等文件。</w:t>
      </w:r>
    </w:p>
    <w:p>
      <w:pPr>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1.5.3质保期第一年，学校组织单场500人以上考试时需提供现场支持，质保期第二年和第三年，学校组织全校性大规模考试时提供现场支持。</w:t>
      </w:r>
    </w:p>
    <w:p>
      <w:pPr>
        <w:spacing w:line="400" w:lineRule="exact"/>
        <w:rPr>
          <w:rFonts w:hint="default" w:ascii="宋体" w:hAnsi="宋体" w:eastAsia="宋体" w:cs="宋体"/>
          <w:color w:val="auto"/>
          <w:sz w:val="24"/>
          <w:szCs w:val="24"/>
          <w:highlight w:val="none"/>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768E9"/>
    <w:multiLevelType w:val="multilevel"/>
    <w:tmpl w:val="065768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5A63FE6"/>
    <w:multiLevelType w:val="multilevel"/>
    <w:tmpl w:val="75A63FE6"/>
    <w:lvl w:ilvl="0" w:tentative="0">
      <w:start w:val="1"/>
      <w:numFmt w:val="decimal"/>
      <w:lvlText w:val="%1"/>
      <w:lvlJc w:val="left"/>
      <w:pPr>
        <w:ind w:left="432" w:hanging="432"/>
      </w:pPr>
      <w:rPr>
        <w:b w:val="0"/>
        <w:bCs w:val="0"/>
        <w:i w:val="0"/>
        <w:iCs w:val="0"/>
        <w:caps w:val="0"/>
        <w:smallCaps w:val="0"/>
        <w:strike w:val="0"/>
        <w:dstrike w:val="0"/>
        <w:vanish w:val="0"/>
        <w:color w:val="000000"/>
        <w:spacing w:val="0"/>
        <w:position w:val="0"/>
        <w:u w:val="none"/>
        <w:vertAlign w:val="baseline"/>
      </w:rPr>
    </w:lvl>
    <w:lvl w:ilvl="1" w:tentative="0">
      <w:start w:val="1"/>
      <w:numFmt w:val="decimal"/>
      <w:pStyle w:val="2"/>
      <w:lvlText w:val="%1.%2"/>
      <w:lvlJc w:val="left"/>
      <w:pPr>
        <w:ind w:left="2561" w:hanging="576"/>
      </w:pPr>
      <w:rPr>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ind w:left="862" w:hanging="720"/>
      </w:pPr>
      <w:rPr>
        <w:b w:val="0"/>
        <w:bCs w:val="0"/>
        <w:i w:val="0"/>
        <w:iCs w:val="0"/>
        <w:caps w:val="0"/>
        <w:smallCaps w:val="0"/>
        <w:strike w:val="0"/>
        <w:dstrike w:val="0"/>
        <w:vanish w:val="0"/>
        <w:color w:val="000000"/>
        <w:spacing w:val="0"/>
        <w:position w:val="0"/>
        <w:u w:val="none"/>
        <w:vertAlign w:val="baseline"/>
      </w:rPr>
    </w:lvl>
    <w:lvl w:ilvl="3" w:tentative="0">
      <w:start w:val="1"/>
      <w:numFmt w:val="decimal"/>
      <w:lvlText w:val="%1.%2.%3.%4"/>
      <w:lvlJc w:val="left"/>
      <w:pPr>
        <w:ind w:left="864" w:hanging="864"/>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1008" w:hanging="1008"/>
      </w:pPr>
      <w:rPr>
        <w:b w:val="0"/>
        <w:bCs w:val="0"/>
        <w:i w:val="0"/>
        <w:iCs w:val="0"/>
        <w:caps w:val="0"/>
        <w:smallCaps w:val="0"/>
        <w:strike w:val="0"/>
        <w:dstrike w:val="0"/>
        <w:vanish w:val="0"/>
        <w:color w:val="000000"/>
        <w:spacing w:val="0"/>
        <w:position w:val="0"/>
        <w:u w:val="none"/>
        <w:vertAlign w:val="baseline"/>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ZTJjNTNkYzdiNDJjNmM4M2IwY2NjM2E5YWY1ZGUifQ=="/>
  </w:docVars>
  <w:rsids>
    <w:rsidRoot w:val="004A447F"/>
    <w:rsid w:val="00033A47"/>
    <w:rsid w:val="000A5D59"/>
    <w:rsid w:val="000D73E6"/>
    <w:rsid w:val="00144BA7"/>
    <w:rsid w:val="00224A7C"/>
    <w:rsid w:val="00251A73"/>
    <w:rsid w:val="00305B5F"/>
    <w:rsid w:val="00340BBC"/>
    <w:rsid w:val="004A447F"/>
    <w:rsid w:val="004B578F"/>
    <w:rsid w:val="005D5B15"/>
    <w:rsid w:val="00693522"/>
    <w:rsid w:val="006F1590"/>
    <w:rsid w:val="007261EB"/>
    <w:rsid w:val="00747818"/>
    <w:rsid w:val="00766942"/>
    <w:rsid w:val="008A757A"/>
    <w:rsid w:val="00950786"/>
    <w:rsid w:val="0098760B"/>
    <w:rsid w:val="009C64C1"/>
    <w:rsid w:val="009C7C94"/>
    <w:rsid w:val="00A72371"/>
    <w:rsid w:val="00A85146"/>
    <w:rsid w:val="00C41202"/>
    <w:rsid w:val="00C95896"/>
    <w:rsid w:val="00CE43B8"/>
    <w:rsid w:val="00D331B5"/>
    <w:rsid w:val="00D84507"/>
    <w:rsid w:val="00D9067C"/>
    <w:rsid w:val="00D93AD8"/>
    <w:rsid w:val="00E41DD0"/>
    <w:rsid w:val="00F16E4D"/>
    <w:rsid w:val="02C17C59"/>
    <w:rsid w:val="02D92185"/>
    <w:rsid w:val="05A47927"/>
    <w:rsid w:val="0620146E"/>
    <w:rsid w:val="074E2FBF"/>
    <w:rsid w:val="087C451F"/>
    <w:rsid w:val="09A738F1"/>
    <w:rsid w:val="0A4757ED"/>
    <w:rsid w:val="0B3C6EF6"/>
    <w:rsid w:val="0B6B167C"/>
    <w:rsid w:val="0CBE06C0"/>
    <w:rsid w:val="0EE01191"/>
    <w:rsid w:val="10D73CA6"/>
    <w:rsid w:val="145B781C"/>
    <w:rsid w:val="14AE61F3"/>
    <w:rsid w:val="158B01EC"/>
    <w:rsid w:val="15C53F48"/>
    <w:rsid w:val="16DF06AB"/>
    <w:rsid w:val="18E030E2"/>
    <w:rsid w:val="1B0A2D77"/>
    <w:rsid w:val="1B671BF8"/>
    <w:rsid w:val="1C480BDD"/>
    <w:rsid w:val="1C79663B"/>
    <w:rsid w:val="1CC61861"/>
    <w:rsid w:val="1D6767FC"/>
    <w:rsid w:val="1E9E07A7"/>
    <w:rsid w:val="207E1C48"/>
    <w:rsid w:val="20E45524"/>
    <w:rsid w:val="21371A6A"/>
    <w:rsid w:val="21CD51E9"/>
    <w:rsid w:val="265474AD"/>
    <w:rsid w:val="267C31EA"/>
    <w:rsid w:val="28834CA4"/>
    <w:rsid w:val="2BC3205E"/>
    <w:rsid w:val="2C460EB9"/>
    <w:rsid w:val="3001289C"/>
    <w:rsid w:val="30244E96"/>
    <w:rsid w:val="30F47B85"/>
    <w:rsid w:val="3318394C"/>
    <w:rsid w:val="33F91296"/>
    <w:rsid w:val="34263692"/>
    <w:rsid w:val="35522586"/>
    <w:rsid w:val="356E3C6A"/>
    <w:rsid w:val="36937F1F"/>
    <w:rsid w:val="3BA23801"/>
    <w:rsid w:val="3D567003"/>
    <w:rsid w:val="3DFA17FB"/>
    <w:rsid w:val="3E65525B"/>
    <w:rsid w:val="3F576EE1"/>
    <w:rsid w:val="3F8C161B"/>
    <w:rsid w:val="45FD2819"/>
    <w:rsid w:val="474D7DEA"/>
    <w:rsid w:val="47B84222"/>
    <w:rsid w:val="480A3B7E"/>
    <w:rsid w:val="4EA63502"/>
    <w:rsid w:val="4EE87D26"/>
    <w:rsid w:val="4F9821FA"/>
    <w:rsid w:val="500F33A8"/>
    <w:rsid w:val="522920F6"/>
    <w:rsid w:val="54613836"/>
    <w:rsid w:val="548E530A"/>
    <w:rsid w:val="54961DEC"/>
    <w:rsid w:val="55CD6AC4"/>
    <w:rsid w:val="58BE194E"/>
    <w:rsid w:val="5A2A7B74"/>
    <w:rsid w:val="5EFC5D22"/>
    <w:rsid w:val="5F7D15E9"/>
    <w:rsid w:val="605455E9"/>
    <w:rsid w:val="61BC0463"/>
    <w:rsid w:val="6463712C"/>
    <w:rsid w:val="66033803"/>
    <w:rsid w:val="66936E4A"/>
    <w:rsid w:val="67053A0F"/>
    <w:rsid w:val="67F90787"/>
    <w:rsid w:val="682D6340"/>
    <w:rsid w:val="6877499E"/>
    <w:rsid w:val="68A15847"/>
    <w:rsid w:val="6976536E"/>
    <w:rsid w:val="6B0D0B67"/>
    <w:rsid w:val="6CB61A02"/>
    <w:rsid w:val="6D054350"/>
    <w:rsid w:val="6EC410F4"/>
    <w:rsid w:val="6FDB6435"/>
    <w:rsid w:val="71CD6741"/>
    <w:rsid w:val="733815F1"/>
    <w:rsid w:val="737C5168"/>
    <w:rsid w:val="742E286E"/>
    <w:rsid w:val="77F6003D"/>
    <w:rsid w:val="78015A13"/>
    <w:rsid w:val="781D53DC"/>
    <w:rsid w:val="793E0816"/>
    <w:rsid w:val="797D616D"/>
    <w:rsid w:val="7BCC5C50"/>
    <w:rsid w:val="7C055627"/>
    <w:rsid w:val="7CB34873"/>
    <w:rsid w:val="7D12764C"/>
    <w:rsid w:val="7D856777"/>
    <w:rsid w:val="7E7C7F8C"/>
    <w:rsid w:val="7EB66D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val="0"/>
      <w:numPr>
        <w:ilvl w:val="1"/>
        <w:numId w:val="1"/>
      </w:numPr>
      <w:adjustRightInd w:val="0"/>
      <w:snapToGrid w:val="0"/>
      <w:spacing w:line="360" w:lineRule="auto"/>
      <w:ind w:left="0" w:firstLine="200" w:firstLineChars="200"/>
      <w:outlineLvl w:val="1"/>
    </w:pPr>
    <w:rPr>
      <w:rFonts w:ascii="Times New Roman" w:hAnsi="Times New Roman" w:eastAsia="宋体" w:cs="黑体"/>
      <w:bCs/>
      <w:sz w:val="21"/>
      <w:szCs w:val="3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annotation subject"/>
    <w:basedOn w:val="3"/>
    <w:next w:val="3"/>
    <w:link w:val="14"/>
    <w:unhideWhenUsed/>
    <w:uiPriority w:val="99"/>
    <w:rPr>
      <w:b/>
      <w:bCs/>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sz w:val="21"/>
      <w:szCs w:val="21"/>
    </w:rPr>
  </w:style>
  <w:style w:type="character" w:customStyle="1" w:styleId="12">
    <w:name w:val="批注文字 Char"/>
    <w:link w:val="3"/>
    <w:uiPriority w:val="99"/>
    <w:rPr>
      <w:rFonts w:ascii="Times New Roman" w:hAnsi="Times New Roman"/>
      <w:kern w:val="2"/>
      <w:sz w:val="21"/>
      <w:szCs w:val="24"/>
    </w:rPr>
  </w:style>
  <w:style w:type="character" w:customStyle="1" w:styleId="13">
    <w:name w:val="批注框文本 Char"/>
    <w:link w:val="4"/>
    <w:semiHidden/>
    <w:uiPriority w:val="99"/>
    <w:rPr>
      <w:rFonts w:ascii="Times New Roman" w:hAnsi="Times New Roman"/>
      <w:kern w:val="2"/>
      <w:sz w:val="18"/>
      <w:szCs w:val="18"/>
    </w:rPr>
  </w:style>
  <w:style w:type="character" w:customStyle="1" w:styleId="14">
    <w:name w:val="批注主题 Char"/>
    <w:link w:val="7"/>
    <w:semiHidden/>
    <w:qFormat/>
    <w:uiPriority w:val="99"/>
    <w:rPr>
      <w:rFonts w:ascii="Times New Roman" w:hAnsi="Times New Roman"/>
      <w:b/>
      <w:bCs/>
      <w:kern w:val="2"/>
      <w:sz w:val="21"/>
      <w:szCs w:val="24"/>
    </w:rPr>
  </w:style>
  <w:style w:type="paragraph" w:customStyle="1" w:styleId="15">
    <w:name w:val="List Paragraph1"/>
    <w:basedOn w:val="1"/>
    <w:qFormat/>
    <w:uiPriority w:val="99"/>
    <w:pPr>
      <w:widowControl/>
      <w:ind w:firstLine="420" w:firstLineChars="200"/>
      <w:jc w:val="left"/>
    </w:pPr>
    <w:rPr>
      <w:rFonts w:ascii="宋体" w:hAnsi="宋体" w:eastAsia="宋体" w:cs="宋体"/>
      <w:kern w:val="0"/>
      <w:sz w:val="24"/>
      <w:szCs w:val="24"/>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5026</Words>
  <Characters>5356</Characters>
  <Lines>47</Lines>
  <Paragraphs>13</Paragraphs>
  <TotalTime>12</TotalTime>
  <ScaleCrop>false</ScaleCrop>
  <LinksUpToDate>false</LinksUpToDate>
  <CharactersWithSpaces>5374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2021-04-15T06:15:00Z</dcterms:created>
  <dc:creator>hong a</dc:creator>
  <cp:lastModifiedBy>凌谷风</cp:lastModifiedBy>
  <cp:lastPrinted>2022-06-02T01:03:00Z</cp:lastPrinted>
  <dcterms:modified xsi:type="dcterms:W3CDTF">2022-06-06T02:33:52Z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B76456CCF0B24A5DAFE9EE69BF405DEB</vt:lpwstr>
  </property>
</Properties>
</file>