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 w:hAnsi="仿宋" w:eastAsia="仿宋"/>
          <w:sz w:val="24"/>
          <w:szCs w:val="24"/>
        </w:rPr>
      </w:pPr>
      <w:bookmarkStart w:id="0" w:name="_GoBack"/>
      <w:bookmarkEnd w:id="0"/>
      <w:r>
        <w:rPr>
          <w:rFonts w:hint="eastAsia" w:ascii="仿宋" w:hAnsi="仿宋" w:eastAsia="仿宋"/>
          <w:sz w:val="24"/>
          <w:szCs w:val="24"/>
        </w:rPr>
        <w:t>附件</w:t>
      </w:r>
      <w:r>
        <w:rPr>
          <w:rFonts w:hint="eastAsia" w:ascii="仿宋" w:hAnsi="仿宋" w:eastAsia="仿宋"/>
          <w:sz w:val="32"/>
          <w:szCs w:val="32"/>
        </w:rPr>
        <w:t>：</w:t>
      </w:r>
    </w:p>
    <w:p>
      <w:pPr>
        <w:spacing w:line="56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福建商学院本科教学运行状态监管平台采购项目</w:t>
      </w:r>
    </w:p>
    <w:p>
      <w:pPr>
        <w:spacing w:line="560" w:lineRule="exact"/>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技术参数要求</w:t>
      </w:r>
    </w:p>
    <w:p>
      <w:pPr>
        <w:spacing w:line="560" w:lineRule="exact"/>
        <w:rPr>
          <w:rFonts w:ascii="仿宋" w:hAnsi="仿宋" w:eastAsia="仿宋"/>
          <w:sz w:val="32"/>
          <w:szCs w:val="32"/>
        </w:rPr>
      </w:pPr>
    </w:p>
    <w:tbl>
      <w:tblPr>
        <w:tblStyle w:val="5"/>
        <w:tblW w:w="807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19"/>
        <w:gridCol w:w="1085"/>
        <w:gridCol w:w="63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19" w:type="dxa"/>
            <w:shd w:val="clear" w:color="auto" w:fill="FFFFFF"/>
            <w:noWrap/>
            <w:vAlign w:val="center"/>
          </w:tcPr>
          <w:p>
            <w:pPr>
              <w:widowControl/>
              <w:spacing w:line="400" w:lineRule="exact"/>
              <w:jc w:val="center"/>
              <w:textAlignment w:val="center"/>
              <w:rPr>
                <w:rFonts w:cs="宋体" w:asciiTheme="minorEastAsia" w:hAnsiTheme="minorEastAsia"/>
                <w:b/>
                <w:bCs/>
                <w:color w:val="000000"/>
                <w:kern w:val="0"/>
                <w:sz w:val="24"/>
                <w:lang w:bidi="ar"/>
              </w:rPr>
            </w:pPr>
            <w:r>
              <w:rPr>
                <w:rFonts w:hint="eastAsia" w:cs="宋体" w:asciiTheme="minorEastAsia" w:hAnsiTheme="minorEastAsia"/>
                <w:b/>
                <w:bCs/>
                <w:color w:val="000000"/>
                <w:kern w:val="0"/>
                <w:sz w:val="24"/>
                <w:lang w:bidi="ar"/>
              </w:rPr>
              <w:t>序号</w:t>
            </w:r>
          </w:p>
        </w:tc>
        <w:tc>
          <w:tcPr>
            <w:tcW w:w="1085" w:type="dxa"/>
            <w:shd w:val="clear" w:color="auto" w:fill="FFFFFF"/>
            <w:vAlign w:val="center"/>
          </w:tcPr>
          <w:p>
            <w:pPr>
              <w:widowControl/>
              <w:spacing w:line="400" w:lineRule="exact"/>
              <w:jc w:val="center"/>
              <w:textAlignment w:val="center"/>
              <w:rPr>
                <w:rFonts w:cs="宋体" w:asciiTheme="minorEastAsia" w:hAnsiTheme="minorEastAsia"/>
                <w:b/>
                <w:bCs/>
                <w:color w:val="000000"/>
                <w:kern w:val="0"/>
                <w:sz w:val="24"/>
                <w:lang w:bidi="ar"/>
              </w:rPr>
            </w:pPr>
            <w:r>
              <w:rPr>
                <w:rFonts w:hint="eastAsia" w:cs="宋体" w:asciiTheme="minorEastAsia" w:hAnsiTheme="minorEastAsia"/>
                <w:b/>
                <w:bCs/>
                <w:color w:val="000000"/>
                <w:kern w:val="0"/>
                <w:sz w:val="24"/>
                <w:lang w:bidi="ar"/>
              </w:rPr>
              <w:t>项目</w:t>
            </w:r>
          </w:p>
        </w:tc>
        <w:tc>
          <w:tcPr>
            <w:tcW w:w="6371" w:type="dxa"/>
            <w:shd w:val="clear" w:color="auto" w:fill="FFFFFF"/>
            <w:vAlign w:val="center"/>
          </w:tcPr>
          <w:p>
            <w:pPr>
              <w:widowControl/>
              <w:spacing w:line="400" w:lineRule="exact"/>
              <w:jc w:val="center"/>
              <w:textAlignment w:val="center"/>
              <w:rPr>
                <w:rFonts w:cs="宋体" w:asciiTheme="minorEastAsia" w:hAnsiTheme="minorEastAsia"/>
                <w:b/>
                <w:bCs/>
                <w:color w:val="000000"/>
                <w:kern w:val="0"/>
                <w:sz w:val="24"/>
                <w:lang w:bidi="ar"/>
              </w:rPr>
            </w:pPr>
            <w:r>
              <w:rPr>
                <w:rFonts w:hint="eastAsia" w:cs="宋体" w:asciiTheme="minorEastAsia" w:hAnsiTheme="minorEastAsia"/>
                <w:b/>
                <w:bCs/>
                <w:color w:val="000000"/>
                <w:kern w:val="0"/>
                <w:sz w:val="24"/>
                <w:lang w:bidi="ar"/>
              </w:rPr>
              <w:t>技术参数指标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0" w:hRule="atLeast"/>
          <w:jc w:val="center"/>
        </w:trPr>
        <w:tc>
          <w:tcPr>
            <w:tcW w:w="619" w:type="dxa"/>
            <w:shd w:val="clear" w:color="auto" w:fill="FFFFFF"/>
            <w:noWrap/>
            <w:vAlign w:val="center"/>
          </w:tcPr>
          <w:p>
            <w:pPr>
              <w:widowControl/>
              <w:spacing w:line="360" w:lineRule="exact"/>
              <w:jc w:val="center"/>
              <w:textAlignment w:val="center"/>
              <w:rPr>
                <w:rFonts w:cs="宋体" w:asciiTheme="minorEastAsia" w:hAnsiTheme="minorEastAsia"/>
                <w:b/>
                <w:bCs/>
                <w:color w:val="000000"/>
                <w:szCs w:val="21"/>
              </w:rPr>
            </w:pPr>
            <w:r>
              <w:rPr>
                <w:rFonts w:hint="eastAsia" w:cs="宋体" w:asciiTheme="minorEastAsia" w:hAnsiTheme="minorEastAsia"/>
                <w:b/>
                <w:bCs/>
                <w:color w:val="000000"/>
                <w:kern w:val="0"/>
                <w:szCs w:val="21"/>
                <w:lang w:bidi="ar"/>
              </w:rPr>
              <w:t>1</w:t>
            </w:r>
          </w:p>
        </w:tc>
        <w:tc>
          <w:tcPr>
            <w:tcW w:w="1085" w:type="dxa"/>
            <w:shd w:val="clear" w:color="auto" w:fill="FFFFFF"/>
            <w:vAlign w:val="center"/>
          </w:tcPr>
          <w:p>
            <w:pPr>
              <w:widowControl/>
              <w:spacing w:line="360" w:lineRule="exact"/>
              <w:jc w:val="center"/>
              <w:textAlignment w:val="center"/>
              <w:rPr>
                <w:rFonts w:cs="宋体" w:asciiTheme="minorEastAsia" w:hAnsiTheme="minorEastAsia"/>
                <w:color w:val="000000"/>
                <w:szCs w:val="21"/>
              </w:rPr>
            </w:pPr>
            <w:r>
              <w:rPr>
                <w:rFonts w:hint="eastAsia" w:cs="宋体" w:asciiTheme="minorEastAsia" w:hAnsiTheme="minorEastAsia"/>
                <w:b/>
                <w:bCs/>
                <w:color w:val="000000"/>
                <w:kern w:val="0"/>
                <w:szCs w:val="21"/>
                <w:lang w:bidi="ar"/>
              </w:rPr>
              <w:t>教学数据管理</w:t>
            </w:r>
          </w:p>
        </w:tc>
        <w:tc>
          <w:tcPr>
            <w:tcW w:w="6371" w:type="dxa"/>
            <w:shd w:val="clear" w:color="auto" w:fill="FFFFFF"/>
            <w:vAlign w:val="center"/>
          </w:tcPr>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（1）智能数据汇总：根据用户要求，配置需汇总上报的数据，自动填报数据。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（2）</w:t>
            </w:r>
            <w:r>
              <w:rPr>
                <w:rFonts w:hint="eastAsia" w:ascii="宋体" w:hAnsi="宋体" w:cs="宋体"/>
                <w:color w:val="000000"/>
              </w:rPr>
              <w:t>分级分权任务填报：</w:t>
            </w:r>
            <w:r>
              <w:rPr>
                <w:rFonts w:hint="eastAsia" w:ascii="宋体" w:hAnsi="宋体"/>
                <w:lang w:bidi="ar"/>
              </w:rPr>
              <w:t xml:space="preserve">生成填报任务，分发数据填报任务到各部处，填报相应数据，实现数据补缺补漏汇总、实时同步记录任务情况、任务可添加访问密码。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（3）</w:t>
            </w:r>
            <w:r>
              <w:rPr>
                <w:rFonts w:hint="eastAsia" w:ascii="宋体" w:hAnsi="宋体" w:cs="宋体"/>
                <w:color w:val="000000"/>
              </w:rPr>
              <w:t>智能化校验：实现自动化教学数据的智能化校验，保障数据的准确性。</w:t>
            </w:r>
            <w:r>
              <w:rPr>
                <w:rFonts w:hint="eastAsia" w:ascii="宋体" w:hAnsi="宋体"/>
                <w:lang w:bidi="ar"/>
              </w:rPr>
              <w:t>实现如空字段检测、值域有效性检测、唯一性检测、关联一致性等校验规则。</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（4）实现教学数据版本管理：自定义每学年数据版本归档管理。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（5）实现自定义归档分类进行管理，满足历史教学数据的查阅。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（6）实现填报任务预警：实时统计填报任务进度情况，对超时任务将进行预警通知到相关管理员，进行监督执行工作。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（7）实现历史档案数据管理导入：实现对历年散乱的教学档案数据进行导入归档，例如EXEL、CSV等文件进行批量导入。 </w:t>
            </w:r>
          </w:p>
          <w:p>
            <w:pPr>
              <w:pStyle w:val="4"/>
              <w:autoSpaceDE w:val="0"/>
              <w:autoSpaceDN w:val="0"/>
              <w:spacing w:beforeAutospacing="0" w:afterAutospacing="0"/>
              <w:ind w:firstLine="240" w:firstLineChars="100"/>
              <w:rPr>
                <w:rFonts w:ascii="宋体" w:hAnsi="宋体" w:cs="宋体"/>
                <w:color w:val="000000"/>
              </w:rPr>
            </w:pPr>
            <w:r>
              <w:rPr>
                <w:rFonts w:hint="eastAsia" w:ascii="宋体" w:hAnsi="宋体"/>
                <w:lang w:bidi="ar"/>
              </w:rPr>
              <w:t>（8）按教育部门上报要求提供不低于80张报表模板，并根据教务处其他上报数据进行相应表单汇总定制开发。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20" w:hRule="atLeast"/>
          <w:jc w:val="center"/>
        </w:trPr>
        <w:tc>
          <w:tcPr>
            <w:tcW w:w="619" w:type="dxa"/>
            <w:shd w:val="clear" w:color="auto" w:fill="FFFFFF"/>
            <w:noWrap/>
            <w:vAlign w:val="center"/>
          </w:tcPr>
          <w:p>
            <w:pPr>
              <w:widowControl/>
              <w:spacing w:line="360" w:lineRule="exact"/>
              <w:jc w:val="center"/>
              <w:textAlignment w:val="center"/>
              <w:rPr>
                <w:rFonts w:cs="宋体" w:asciiTheme="minorEastAsia" w:hAnsiTheme="minorEastAsia"/>
                <w:b/>
                <w:bCs/>
                <w:color w:val="000000"/>
                <w:kern w:val="0"/>
                <w:szCs w:val="21"/>
                <w:lang w:bidi="ar"/>
              </w:rPr>
            </w:pPr>
            <w:r>
              <w:rPr>
                <w:rFonts w:hint="eastAsia" w:cs="宋体" w:asciiTheme="minorEastAsia" w:hAnsiTheme="minorEastAsia"/>
                <w:b/>
                <w:bCs/>
                <w:color w:val="000000"/>
                <w:kern w:val="0"/>
                <w:szCs w:val="21"/>
                <w:lang w:bidi="ar"/>
              </w:rPr>
              <w:t>2</w:t>
            </w:r>
          </w:p>
        </w:tc>
        <w:tc>
          <w:tcPr>
            <w:tcW w:w="1085" w:type="dxa"/>
            <w:shd w:val="clear" w:color="auto" w:fill="FFFFFF"/>
            <w:vAlign w:val="center"/>
          </w:tcPr>
          <w:p>
            <w:pPr>
              <w:widowControl/>
              <w:spacing w:line="360" w:lineRule="exact"/>
              <w:jc w:val="center"/>
              <w:textAlignment w:val="center"/>
              <w:rPr>
                <w:rFonts w:cs="宋体" w:asciiTheme="minorEastAsia" w:hAnsiTheme="minorEastAsia"/>
                <w:color w:val="000000"/>
                <w:kern w:val="0"/>
                <w:szCs w:val="21"/>
                <w:lang w:bidi="ar"/>
              </w:rPr>
            </w:pPr>
            <w:r>
              <w:rPr>
                <w:rFonts w:hint="eastAsia" w:cs="宋体" w:asciiTheme="minorEastAsia" w:hAnsiTheme="minorEastAsia"/>
                <w:b/>
                <w:bCs/>
                <w:color w:val="000000"/>
                <w:kern w:val="0"/>
                <w:szCs w:val="21"/>
                <w:lang w:bidi="ar"/>
              </w:rPr>
              <w:t>综合分析中心</w:t>
            </w:r>
          </w:p>
        </w:tc>
        <w:tc>
          <w:tcPr>
            <w:tcW w:w="6371" w:type="dxa"/>
            <w:shd w:val="clear" w:color="auto" w:fill="FFFFFF"/>
            <w:vAlign w:val="center"/>
          </w:tcPr>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（9）实现数据可视化建模分析能力：</w:t>
            </w:r>
            <w:r>
              <w:rPr>
                <w:rFonts w:hint="eastAsia" w:ascii="宋体" w:hAnsi="宋体" w:cs="宋体"/>
                <w:color w:val="000000"/>
              </w:rPr>
              <w:t>从</w:t>
            </w:r>
            <w:r>
              <w:rPr>
                <w:rFonts w:hint="eastAsia" w:asciiTheme="minorEastAsia" w:hAnsiTheme="minorEastAsia" w:eastAsiaTheme="minorEastAsia"/>
                <w:bCs/>
              </w:rPr>
              <w:t>5个层面（学院、专业、课程、师资、学生）</w:t>
            </w:r>
            <w:r>
              <w:rPr>
                <w:rFonts w:hint="eastAsia" w:ascii="宋体" w:hAnsi="宋体" w:cs="宋体"/>
                <w:color w:val="000000"/>
              </w:rPr>
              <w:t>数据建模，</w:t>
            </w:r>
            <w:r>
              <w:rPr>
                <w:rFonts w:hint="eastAsia" w:ascii="宋体" w:hAnsi="宋体"/>
                <w:lang w:bidi="ar"/>
              </w:rPr>
              <w:t xml:space="preserve">实现校级数据分析、学院数据分析、各专业课程成绩分析、学生画像分析、教师画像数据分析、课情感知分析、招生数据分析、生源数据分析、专业课程热度分析、一卡通数据分析、图书馆数据分析等教学办学数据分析。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（10）实现算子管理：例如统计算子、数据脱敏算子、朴素贝叶斯算子、决策树算子、随机森林算子等，通过算子来满足日常教育教学数据分析挖掘提供相关分析算子。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（11）实现数据分析挖掘：具备图形化拉取各式各样的算子搭建出教务教学模型。实现调整模型的步骤，从而搭建出符合教务教学业务结构的数据处理分析流程。</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（12）实现一键运行挖掘流程、挖掘日志展示、挖掘进度管理及可视化。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13）实现数据模型调参和训练：实现直接选中对应具体算子，查看该算子说明；实现对算子进行参数配置，进行模型的训练；实现每个数据挖掘流程运行过程都会生成一个数据挖掘进度任务，用户可以直观的跟踪挖掘流程的进度情况。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（14）实现断点续存：在模型训练过程，实现断点续存，无需重新运行流程。实现在不影响正在运行的算子时，暂停流程，对未运行的算子进行调参，编辑。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（15）实现日志打印能力：数据挖掘过程中会产生整个流程的运行日志，包括算子执行的日志信息，通过挖掘日志管理可以过滤筛选日志查看每个挖掘流程的运行信息。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（16）实现分析模型转换为 API 进行应用。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（17）实现定时调度自动化运行：通过任务调度引擎定时运行已搭建出的数据模型，实现数据的更新。实现定时调度过程生成运行日志。实现若调度异常可设置邮件接收异常情况，进行异常提醒。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（18）实现能根据教务处教育教学需求对分析数据进行可视化大屏定制呈现。实现页面整体样式设置功能，包括整体风格、背景颜色、背景图片、标题颜色、文字颜色、文字大小、文字类型和图表配色等功能。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（19）实现根据教育部各项指标要求，对学校各项关键指标进行实时监测预警。实现例如学科建设情况、教学质量评估分析、办学指标、教育教学评估指标等教育部门相关政策指标的分析预警。</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（20）实现与信息化教室课堂等相关硬件设施数据的对接，例如摄像头、智慧屏等相关设备感知上课情况数据、实验室上课情况感知，通过数据抽取，数据分析，以避免教学事故发生。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（21）实现根据教学课堂排课计划进行监测分析，联动信息化教室课堂硬件识别课堂教师上课情况，如有异常形成异常告警，例如超时未签到、学生投诉等，并通知到相关督导人员，进行督导工作。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（22）实现根据学校课堂地理位置、教学性质生成相应教室二维码，二维码提供教师签到，学生或其巡查人员投诉、课堂评价功能进行分析。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（23）实现通过巡查任务下发给相应督查人员，对未安装信息化感知设备的课堂进行巡查工作，并通过巡查任务反馈巡查情况，进行日常督导巡查工作分析。</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（24）数据可视化分析中心：从5个层面（学院、专业、课程、师资、学生）数据可视化分析，如下分析：</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25）数据可视化分析中心-实现学生基础信息分析：汇总学生的个人基本信息（如姓名、性别、联系方式、生源地等）、入学前信息（如毕业院校、考试成绩、报考专业）、在校信息（学号、专业、宿舍号、奖惩信息、入学时间、学籍情况等）、就业信息（就业单位、就业地区、就业岗位）。</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（26）数据可视化分析中心--实现学生在校学分完成情况分析：根据学生课程信息，课程成绩信息，以及出勤情况，总体分析学生在校总体学分完成情况分析，了解学生的学业课业情况。</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（27）数据可视化分析中心-实现学生课程考勤分析：统计学生各课程出勤情况及异常考勤数据，统计分析缺席严重的课程、迟到次数最多的课程、旷课次数最多的课程。</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（28）数据可视化分析中心-实现学生专业核心结构分析：根据学生上课科目，以及选修科目，同时获取学生实践课程成绩、常规课业考试成绩，进行掌握学生专业核心掌握结构。</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（29）数据可视化分析中心-实现教师出勤情况分析：统计老师各课程出勤情况及异常考勤数据，统计分析老师整体的教学概况。</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（30）数据可视化分析中心-实现教师教学质量分析：根据老师授课班级的整体教学情况,统计班级课程的挂科率,总体评估老师的教学质量。</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（31）数据可视化分析中心-实现生源地变迁分析：统计每年的生源地学生数量,统计分析每年学生数量变化,形成生源地变迁地图。</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（32）数据可视化分析中心-实现热度专业变化分析：按专业统计学生的报道人数，结合每年各专业的学生报道总人数，分析热度专业的变化趋势。</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（33）数据可视化分析中心-实现学生性别比例变化分析：按性别分类统计学生的报道人数，统计每年的男女比例增减情况，分析性别比例变化趋势。</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（34）数据可视化分析中心-实现生源质量变化趋势分析：根据学生高考成绩、成绩排名、学生参赛获奖情况以及专业招生分数综合分析，结合学生在校情况，对比分析每年生源质量变化趋势。</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（35）数据可视化分析中心-实现计划招生与实际招生差异变化分析：按专业统计历年的实际招生与计划招生人数，统计每年计划招生与实际招生存在较大差异的专业，帮助学校能直观的查看招生差异变化。</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（36）数据可视化分析中心-实现同比全国/学校生源差异分析：按生源地及学校统计招生情况，结合学生的考试情况，分析同比全国/学校的生源差异变化，以图表形式展示分析结果。</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（37）数据可视化分析中心-实现生源地覆盖程度分析：按地区统计招生人数，分析生源地覆盖情况，以地图形式展示各生源地覆盖程度分析，能更清楚直观的了解更地覆盖程度。</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（38）数据可视化分析中心-实现专业生源变动预警分析：统计各专业的报到人数、转专业人数，对比历年的统计情况，统计分析变动较大的专业。</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（39）数据可视化分析中心-实现生源基地画像及变迁：统计各地区学生的基本信息,形成生源基地画像,通过画像分析生源基地变迁。</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（40）数据可视化分析中心-实现生源质量分层趋势分析：将生源地学生质量按层级统计，分析生源质量分层趋势。</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（41）数据可视化分析中心-实现专业满意率分析：基于历年转专业数据、志愿填报数据，以及学生专业课程出勤情况、历年毕业学生就业岗位匹配专业范围程度，来评估专业的满意度分析及趋势。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9" w:hRule="atLeast"/>
          <w:jc w:val="center"/>
        </w:trPr>
        <w:tc>
          <w:tcPr>
            <w:tcW w:w="619" w:type="dxa"/>
            <w:shd w:val="clear" w:color="auto" w:fill="FFFFFF"/>
            <w:noWrap/>
            <w:vAlign w:val="center"/>
          </w:tcPr>
          <w:p>
            <w:pPr>
              <w:widowControl/>
              <w:spacing w:line="360" w:lineRule="exact"/>
              <w:jc w:val="center"/>
              <w:textAlignment w:val="center"/>
              <w:rPr>
                <w:rFonts w:cs="宋体" w:asciiTheme="minorEastAsia" w:hAnsiTheme="minorEastAsia"/>
                <w:b/>
                <w:bCs/>
                <w:color w:val="000000"/>
                <w:kern w:val="0"/>
                <w:szCs w:val="21"/>
                <w:lang w:bidi="ar"/>
              </w:rPr>
            </w:pPr>
            <w:r>
              <w:rPr>
                <w:rFonts w:hint="eastAsia" w:cs="宋体" w:asciiTheme="minorEastAsia" w:hAnsiTheme="minorEastAsia"/>
                <w:b/>
                <w:bCs/>
                <w:color w:val="000000"/>
                <w:kern w:val="0"/>
                <w:szCs w:val="21"/>
                <w:lang w:bidi="ar"/>
              </w:rPr>
              <w:t>3</w:t>
            </w:r>
          </w:p>
        </w:tc>
        <w:tc>
          <w:tcPr>
            <w:tcW w:w="1085" w:type="dxa"/>
            <w:shd w:val="clear" w:color="auto" w:fill="FFFFFF"/>
            <w:vAlign w:val="center"/>
          </w:tcPr>
          <w:p>
            <w:pPr>
              <w:widowControl/>
              <w:spacing w:line="360" w:lineRule="exact"/>
              <w:jc w:val="center"/>
              <w:textAlignment w:val="center"/>
              <w:rPr>
                <w:rFonts w:cs="宋体" w:asciiTheme="minorEastAsia" w:hAnsiTheme="minorEastAsia"/>
                <w:b/>
                <w:bCs/>
                <w:color w:val="000000"/>
                <w:kern w:val="0"/>
                <w:szCs w:val="21"/>
                <w:lang w:bidi="ar"/>
              </w:rPr>
            </w:pPr>
            <w:r>
              <w:rPr>
                <w:rFonts w:hint="eastAsia" w:cs="宋体" w:asciiTheme="minorEastAsia" w:hAnsiTheme="minorEastAsia"/>
                <w:b/>
                <w:bCs/>
                <w:color w:val="000000"/>
                <w:kern w:val="0"/>
                <w:szCs w:val="21"/>
                <w:lang w:bidi="ar"/>
              </w:rPr>
              <w:t>教务数据处理中心</w:t>
            </w:r>
          </w:p>
        </w:tc>
        <w:tc>
          <w:tcPr>
            <w:tcW w:w="6371" w:type="dxa"/>
            <w:shd w:val="clear" w:color="auto" w:fill="FFFFFF"/>
            <w:vAlign w:val="center"/>
          </w:tcPr>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（42）</w:t>
            </w:r>
            <w:r>
              <w:rPr>
                <w:rFonts w:ascii="宋体" w:hAnsi="宋体"/>
                <w:lang w:bidi="ar"/>
              </w:rPr>
              <w:t>实现数据源对接：对接</w:t>
            </w:r>
            <w:r>
              <w:rPr>
                <w:rFonts w:hint="eastAsia" w:ascii="宋体" w:hAnsi="宋体"/>
                <w:lang w:bidi="ar"/>
              </w:rPr>
              <w:t>智慧校园公共数据平台、</w:t>
            </w:r>
            <w:r>
              <w:rPr>
                <w:rFonts w:ascii="宋体" w:hAnsi="宋体"/>
                <w:lang w:bidi="ar"/>
              </w:rPr>
              <w:t>教务系统、信息化教室课堂等系统的数据</w:t>
            </w:r>
            <w:r>
              <w:rPr>
                <w:rFonts w:hint="eastAsia" w:ascii="宋体" w:hAnsi="宋体" w:cs="宋体"/>
                <w:color w:val="000000"/>
              </w:rPr>
              <w:t>以及教务处指定的校园其它标准化接口的系统数据对接</w:t>
            </w:r>
            <w:r>
              <w:rPr>
                <w:rFonts w:ascii="宋体" w:hAnsi="宋体"/>
                <w:lang w:bidi="ar"/>
              </w:rPr>
              <w:t xml:space="preserve">。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（43）</w:t>
            </w:r>
            <w:r>
              <w:rPr>
                <w:rFonts w:ascii="宋体" w:hAnsi="宋体"/>
                <w:lang w:bidi="ar"/>
              </w:rPr>
              <w:t xml:space="preserve">实现数据源管理，实现数据源新增、编辑、测试、删除。实现查看表结构、表数据。 </w:t>
            </w:r>
          </w:p>
          <w:p>
            <w:pPr>
              <w:pStyle w:val="4"/>
              <w:autoSpaceDE w:val="0"/>
              <w:autoSpaceDN w:val="0"/>
              <w:spacing w:beforeAutospacing="0" w:afterAutospacing="0"/>
              <w:rPr>
                <w:rFonts w:ascii="宋体" w:hAnsi="宋体"/>
                <w:lang w:bidi="ar"/>
              </w:rPr>
            </w:pPr>
            <w:r>
              <w:rPr>
                <w:rFonts w:hint="eastAsia" w:ascii="宋体" w:hAnsi="宋体"/>
                <w:lang w:bidi="ar"/>
              </w:rPr>
              <w:t xml:space="preserve">  （44）</w:t>
            </w:r>
            <w:r>
              <w:rPr>
                <w:rFonts w:ascii="宋体" w:hAnsi="宋体"/>
                <w:lang w:bidi="ar"/>
              </w:rPr>
              <w:t xml:space="preserve">实现元数据管理，实现对非结构化的数据抽象为结构化数据统一管理。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（45）</w:t>
            </w:r>
            <w:r>
              <w:rPr>
                <w:rFonts w:ascii="宋体" w:hAnsi="宋体"/>
                <w:lang w:bidi="ar"/>
              </w:rPr>
              <w:t xml:space="preserve">实现数据处理能力：将教务处教育教学数据进行定制处理，实现数据标准管理，支持将“中华人民共和国教育行业标准 JY/T 1006-2012教育管理信息 高等学校管理信息”数据标准通过 Excel表格标准导入、导出功能，支持对标准项进行修改、添加，对学校相关数据进行标准化治理，并生成新的版本。实现新版本的数据可以投入到相应定制化教育教学模型工程进行使用。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（46）实现数据清洗功能：例如去重复数据、脏数据、异常数据等常规数据清洗功能。 </w:t>
            </w:r>
          </w:p>
          <w:p>
            <w:pPr>
              <w:pStyle w:val="4"/>
              <w:autoSpaceDE w:val="0"/>
              <w:autoSpaceDN w:val="0"/>
              <w:spacing w:beforeAutospacing="0" w:afterAutospacing="0"/>
              <w:rPr>
                <w:rFonts w:ascii="宋体" w:hAnsi="宋体"/>
                <w:lang w:bidi="ar"/>
              </w:rPr>
            </w:pPr>
            <w:r>
              <w:rPr>
                <w:rFonts w:hint="eastAsia" w:ascii="宋体" w:hAnsi="宋体"/>
                <w:lang w:bidi="ar"/>
              </w:rPr>
              <w:t xml:space="preserve">  （47）数据建模处理管理：实现通过可视化拖拉拽方式对数据进行处理工作，例如数据抽取模型、数据预处理模型、数据合并模型、数据分组统计模型、数据定制化模型等数据处理模型工作。</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（48）实现分类数据存储：将数据进行分门别类存储，实现原始数据库存储、处理数据库存储、定制分析数据库存储。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（49）原始数据库：实现对原始数据库表数据进行新增、编辑、删除、表查询、表结构查询、表数据查询。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（50）处理数据库：从原始数据中数据经过处理形成的数据存储到数据处理库中。实现对处理数据库库表数据进行新增、编辑、删除、表查询、表结构查询、表数据查询。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51）分析主题数据库：从处理数据库中对数据进行建模分析，形成学院相应数据分析进行管理，例如学校办学指标分析预警数据、教育教学评估指标分析预警数据、教学质量评估数据、专业课程热度分析预警数据、教育教学研究与改革分析预警数据、本科教学质量分析预警数据等教育办学定制分析数据。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（52）实现对定制分析数据库数据进行新增、编辑、删除、表查询、表结构查询、表数据查询。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（53）实现校验能力：通过系统内置数据校验检测算法对数据进行数据校验工作，并形成校验报告。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54）实现数据检索能力：实现对正文、来源、标题等进行相关检索，将能够全面的掌握有关必要信息，提高信息利用的效率，缩短获取信息的时间，有利于信息用户获取所需的全部信息。信息全文数据库提供全文检索功能，可以对海量信息进行高效、准确、实时的搜索。实现分布式多用户能力的全文搜索引擎，提供面向异构数据的统一分布式数据检索能力。 </w:t>
            </w:r>
          </w:p>
          <w:p>
            <w:pPr>
              <w:pStyle w:val="4"/>
              <w:autoSpaceDE w:val="0"/>
              <w:autoSpaceDN w:val="0"/>
              <w:spacing w:beforeAutospacing="0" w:afterAutospacing="0"/>
              <w:rPr>
                <w:rFonts w:ascii="宋体" w:hAnsi="宋体"/>
                <w:lang w:bidi="ar"/>
              </w:rPr>
            </w:pPr>
            <w:r>
              <w:rPr>
                <w:rFonts w:hint="eastAsia" w:ascii="宋体" w:hAnsi="宋体"/>
                <w:lang w:bidi="ar"/>
              </w:rPr>
              <w:t xml:space="preserve">  （55）实现数据监控和统计能力，实现对平台上数据处理情况，存储情况以及异常种类，源类型，处理量等多维度指标进行监控和统计，方便了解平台的整体运作情况。  </w:t>
            </w:r>
          </w:p>
          <w:p>
            <w:pPr>
              <w:pStyle w:val="4"/>
              <w:autoSpaceDE w:val="0"/>
              <w:autoSpaceDN w:val="0"/>
              <w:spacing w:beforeAutospacing="0" w:afterAutospacing="0"/>
              <w:rPr>
                <w:rFonts w:ascii="宋体" w:hAnsi="宋体"/>
                <w:lang w:bidi="ar"/>
              </w:rPr>
            </w:pPr>
            <w:r>
              <w:rPr>
                <w:rFonts w:hint="eastAsia" w:ascii="宋体" w:hAnsi="宋体"/>
                <w:lang w:bidi="ar"/>
              </w:rPr>
              <w:t xml:space="preserve">  （56）实现数据资产共享能力,实现对处理后的数据，可以通过汇编资产目录进行规整，将数据共享为数据目录。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（57）实现对访问的用户进行近细化等级权限管理，实现新增、编辑、删除，并记录访问等级变化记录。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（58）实现对共享数据进行场景化管理，实现新增、编辑、删除，并且实现查看场景中包含的库表数据。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（59）实现数据资产类型管理，实现新增、编辑、删除查看资产类型。实现数据目录按需共享发布，可对数据资产申请、审批操作，同时可以针对数据目录进行用户授权。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 xml:space="preserve">（60）实现数据实时计算能力，实现进行实时数据采集，通过kafka 实时调度总线，对实时数据进行解析存储、聚合分析等多种操作流程，实现时间窗口的统计和在线的数据挖掘和分析，最终为系统做出实时判断告警，实时监测。 </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（61）实现推荐接口多种认证模式，如：Basic、JWT、HMAC加密、关键词等，只有通过认证才能进一步访问网关开放的服务。</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62）实现对重点业务请求流量进行统计、监控。例如请求统计（2xx请求、3xx请求、4xx请求、5xx请求）、QPS统计、请求时间统计（总时间、平均响应时间）、流量统计（总入网流量、总出网流量、平均入网流量、平均出网流量）。可以按照1秒，2秒，3秒的时间区间范围进行查看。</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63）实现流量访问控制，如禁止指定类型的访问，或者允许指定类型的访问。可以对接口进行多种规则类型的匹配，单一条件匹配可以匹配单个规则的应用，多条件匹配可以匹配一个或者多个规则的应用，全满足匹配后才生效。</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（64）实现流量限速管理，支持每秒、每分、每小时的请求次数限制，当流量超过阈值，新来的请求会被网关拦截，确保后端服务可以正常运行。</w:t>
            </w:r>
          </w:p>
          <w:p>
            <w:pPr>
              <w:pStyle w:val="4"/>
              <w:autoSpaceDE w:val="0"/>
              <w:autoSpaceDN w:val="0"/>
              <w:spacing w:beforeAutospacing="0" w:afterAutospacing="0"/>
              <w:ind w:firstLine="240" w:firstLineChars="100"/>
              <w:rPr>
                <w:rFonts w:cs="宋体" w:asciiTheme="minorEastAsia" w:hAnsiTheme="minorEastAsia" w:eastAsiaTheme="minorEastAsia"/>
                <w:color w:val="000000"/>
              </w:rPr>
            </w:pPr>
            <w:r>
              <w:rPr>
                <w:rFonts w:hint="eastAsia" w:ascii="宋体" w:hAnsi="宋体"/>
                <w:lang w:bidi="ar"/>
              </w:rPr>
              <w:t>（65）根据智慧校园建设“整体设计、分步实施”的原则，学校将建立公共数据平台，统一数据标准，确保数据共享。为避免出现“数据孤岛”，要求本科教学运行状态监管平台的项目中标商必须在学校要求的时间内，无条件负责将平台所有数据迁移至公共数据平台，并根据学校统一数据标准进行数据整合，实现“一数一源”，确保该监管平台的所有数据来源于公共数据平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9" w:hRule="atLeast"/>
          <w:jc w:val="center"/>
        </w:trPr>
        <w:tc>
          <w:tcPr>
            <w:tcW w:w="619" w:type="dxa"/>
            <w:shd w:val="clear" w:color="auto" w:fill="FFFFFF"/>
            <w:noWrap/>
            <w:vAlign w:val="center"/>
          </w:tcPr>
          <w:p>
            <w:pPr>
              <w:spacing w:line="360" w:lineRule="exact"/>
              <w:jc w:val="center"/>
              <w:rPr>
                <w:rFonts w:cs="宋体" w:asciiTheme="minorEastAsia" w:hAnsiTheme="minorEastAsia"/>
                <w:b/>
                <w:bCs/>
                <w:color w:val="000000"/>
                <w:szCs w:val="21"/>
              </w:rPr>
            </w:pPr>
            <w:r>
              <w:rPr>
                <w:rFonts w:hint="eastAsia" w:cs="宋体" w:asciiTheme="minorEastAsia" w:hAnsiTheme="minorEastAsia"/>
                <w:b/>
                <w:bCs/>
                <w:color w:val="000000"/>
                <w:szCs w:val="21"/>
              </w:rPr>
              <w:t>4</w:t>
            </w:r>
          </w:p>
        </w:tc>
        <w:tc>
          <w:tcPr>
            <w:tcW w:w="1085" w:type="dxa"/>
            <w:shd w:val="clear" w:color="auto" w:fill="FFFFFF"/>
            <w:vAlign w:val="center"/>
          </w:tcPr>
          <w:p>
            <w:pPr>
              <w:spacing w:line="360" w:lineRule="exact"/>
              <w:jc w:val="center"/>
              <w:rPr>
                <w:rFonts w:cs="宋体" w:asciiTheme="minorEastAsia" w:hAnsiTheme="minorEastAsia"/>
                <w:b/>
                <w:bCs/>
                <w:color w:val="000000"/>
                <w:szCs w:val="21"/>
              </w:rPr>
            </w:pPr>
            <w:r>
              <w:rPr>
                <w:rFonts w:hint="eastAsia" w:cs="宋体" w:asciiTheme="minorEastAsia" w:hAnsiTheme="minorEastAsia"/>
                <w:b/>
                <w:bCs/>
                <w:color w:val="000000"/>
                <w:szCs w:val="21"/>
              </w:rPr>
              <w:t>开发环境及部署要求</w:t>
            </w:r>
          </w:p>
        </w:tc>
        <w:tc>
          <w:tcPr>
            <w:tcW w:w="6371" w:type="dxa"/>
            <w:shd w:val="clear" w:color="auto" w:fill="FFFFFF"/>
            <w:vAlign w:val="center"/>
          </w:tcPr>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（1）根据《福建省教育厅办公室关于加快推进全省教育系统IPv6规模部署和应用的通知（闽教办科〔2021〕10号）》要求，所有采购的网络设备和软件系统都必须全面支持IPv6。</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2）根据《福建省教育厅办公室转发福建省版权局关于印发&lt;福建省2021年推进使用正版化软件工作实施方案&gt;的通知（闽教办科〔2021〕8号）》要求，倡导新建信息系统要兼容国产操作系统软件、国产办公软件。因目前国产操作系统软件多数基于Linux内核，因特殊情况目前无法在Linux部署的系统，应承诺未来根据国家政策要求如期完成整改。</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3）根据《中华人民共和国网络安全法》的网络安全等级保护制度要求，所有采购的软件系统都要通过校方组织的网络信息安全等级保护二级测评，其中涉及敏感信息的软件系统要求通过网络信息安全等级保护三级测评。在维保期内，厂商应无条件免费配合校方做好等保测评相关工作，如在测评之前必须对所有软件系统存在的漏洞或安全隐患进行整改修复等。若采购的软件系统已通过网络信息安全等级保护二级测评，在维保期内每两年须向校方免费提供等保测评报告关键页扫描件或复印件。若采购的软件系统已通过网络信息安全等级保护三级测评，在维保期内每年须向校方免费提供当年的等保测评报告关键页扫描件或复印件。在维保期内，对新发现的漏洞或安全隐患，厂家须承诺无条件免费进行整改修复。（等保测评报告关键页应至少包含报告编号、测评单位、报告时间、网络安全等级测评与检测评估机构服务认证证书、网络安全等级测评基本信息表、等级测评结论 、总体评价和主要安全问题及整改建议）</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4）所采购的软件系统必须明确信息系统部署方式（本地部署、云部署或混合部署）。本地部署是指将软件系统完整安装在学校的服务器中，仅在校园网环境内就可实现软件所有的功能。云部署是指使用厂商提供的</w:t>
            </w:r>
            <w:r>
              <w:fldChar w:fldCharType="begin"/>
            </w:r>
            <w:r>
              <w:instrText xml:space="preserve"> HYPERLINK "https://so.csdn.net/so/search?q=%E4%BA%91%E6%9C%8D%E5%8A%A1&amp;spm=1001.2101.3001.7020" \t "https://blog.csdn.net/qq_32117641/article/details/_blank" </w:instrText>
            </w:r>
            <w:r>
              <w:fldChar w:fldCharType="separate"/>
            </w:r>
            <w:r>
              <w:rPr>
                <w:rFonts w:hint="eastAsia" w:ascii="宋体" w:hAnsi="宋体"/>
                <w:lang w:bidi="ar"/>
              </w:rPr>
              <w:t>云服务</w:t>
            </w:r>
            <w:r>
              <w:rPr>
                <w:rFonts w:hint="eastAsia" w:ascii="宋体" w:hAnsi="宋体"/>
                <w:lang w:bidi="ar"/>
              </w:rPr>
              <w:fldChar w:fldCharType="end"/>
            </w:r>
            <w:r>
              <w:rPr>
                <w:rFonts w:hint="eastAsia" w:ascii="宋体" w:hAnsi="宋体"/>
                <w:lang w:bidi="ar"/>
              </w:rPr>
              <w:t>器来实现软件功能，相当于购买云服务。混合部署是指本地部署和云部署相结合，软件的部分功能或数据存储分布在校内服务器和厂商提供的</w:t>
            </w:r>
            <w:r>
              <w:fldChar w:fldCharType="begin"/>
            </w:r>
            <w:r>
              <w:instrText xml:space="preserve"> HYPERLINK "https://so.csdn.net/so/search?q=%E4%BA%91%E6%9C%8D%E5%8A%A1&amp;spm=1001.2101.3001.7020" \t "https://blog.csdn.net/qq_32117641/article/details/_blank" </w:instrText>
            </w:r>
            <w:r>
              <w:fldChar w:fldCharType="separate"/>
            </w:r>
            <w:r>
              <w:rPr>
                <w:rFonts w:hint="eastAsia" w:ascii="宋体" w:hAnsi="宋体"/>
                <w:lang w:bidi="ar"/>
              </w:rPr>
              <w:t>云服务</w:t>
            </w:r>
            <w:r>
              <w:rPr>
                <w:rFonts w:hint="eastAsia" w:ascii="宋体" w:hAnsi="宋体"/>
                <w:lang w:bidi="ar"/>
              </w:rPr>
              <w:fldChar w:fldCharType="end"/>
            </w:r>
            <w:r>
              <w:rPr>
                <w:rFonts w:hint="eastAsia" w:ascii="宋体" w:hAnsi="宋体"/>
                <w:lang w:bidi="ar"/>
              </w:rPr>
              <w:t>器中。为便于学校统一管理，建议厂家采用本地部署，若采用其余两种部署方式，厂商应明确在维保期结束后，是否为校方继续提供软件服务功能。</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（5）</w:t>
            </w:r>
            <w:r>
              <w:rPr>
                <w:rFonts w:ascii="宋体" w:hAnsi="宋体"/>
                <w:lang w:bidi="ar"/>
              </w:rPr>
              <w:t>因学校统一采用</w:t>
            </w:r>
            <w:r>
              <w:rPr>
                <w:rFonts w:hint="eastAsia" w:ascii="宋体" w:hAnsi="宋体"/>
                <w:lang w:bidi="ar"/>
              </w:rPr>
              <w:t>虚拟化平台部署方式，对于需本地部署的软件系统要能在虚拟机或K8s集群的Docker容器中进行部署，软件授权方式不能采用硬件加密狗，软件授权须实现虚拟机或容器可在不同服务器主机集群中漂移。</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6）所采购的软件系统必须能与我校智慧校园基础平台无缝集成，提供与学校融合信息门户平台、公共数据平台、统一身份认证平台集成，以及其他应用软件系统接口的解决方案。在项目实施的过程中按照学校智慧校园基础平台的集成要求修改和实施技术方案。</w:t>
            </w:r>
          </w:p>
          <w:p>
            <w:pPr>
              <w:pStyle w:val="4"/>
              <w:autoSpaceDE w:val="0"/>
              <w:autoSpaceDN w:val="0"/>
              <w:spacing w:beforeAutospacing="0" w:afterAutospacing="0"/>
              <w:ind w:firstLine="240" w:firstLineChars="100"/>
              <w:rPr>
                <w:rFonts w:ascii="宋体" w:hAnsi="宋体"/>
                <w:lang w:bidi="ar"/>
              </w:rPr>
            </w:pPr>
            <w:r>
              <w:rPr>
                <w:rFonts w:hint="eastAsia" w:ascii="宋体" w:hAnsi="宋体"/>
                <w:lang w:bidi="ar"/>
              </w:rPr>
              <w:t>（7）建议所采购的整套系统中的硬件部分要求厂家提供五年免费质保，软件部分提供三年免费维护和升级（同类软件不区分软件大小版本号）。</w:t>
            </w:r>
          </w:p>
          <w:p>
            <w:pPr>
              <w:pStyle w:val="4"/>
              <w:autoSpaceDE w:val="0"/>
              <w:autoSpaceDN w:val="0"/>
              <w:spacing w:beforeAutospacing="0" w:afterAutospacing="0"/>
              <w:ind w:firstLine="240" w:firstLineChars="100"/>
              <w:rPr>
                <w:rFonts w:cs="宋体" w:asciiTheme="minorEastAsia" w:hAnsiTheme="minorEastAsia" w:eastAsiaTheme="minorEastAsia"/>
                <w:color w:val="000000"/>
                <w:szCs w:val="21"/>
              </w:rPr>
            </w:pPr>
            <w:r>
              <w:rPr>
                <w:rFonts w:hint="eastAsia" w:ascii="宋体" w:hAnsi="宋体"/>
                <w:lang w:bidi="ar"/>
              </w:rPr>
              <w:t>（8）本项目涉及数据对接需求及数据安全考虑，本项目所采购的软件系统必须采用本地部署。</w:t>
            </w:r>
          </w:p>
        </w:tc>
      </w:tr>
    </w:tbl>
    <w:p>
      <w:pPr>
        <w:spacing w:line="560" w:lineRule="exact"/>
        <w:rPr>
          <w:rFonts w:ascii="仿宋" w:hAnsi="仿宋" w:eastAsia="仿宋"/>
          <w:sz w:val="24"/>
          <w:szCs w:val="24"/>
        </w:rPr>
      </w:pPr>
    </w:p>
    <w:sectPr>
      <w:footerReference r:id="rId3" w:type="default"/>
      <w:footerReference r:id="rId4" w:type="even"/>
      <w:pgSz w:w="11906" w:h="16838"/>
      <w:pgMar w:top="1440" w:right="1800" w:bottom="1440" w:left="1800"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39918194"/>
      <w:docPartObj>
        <w:docPartGallery w:val="autotext"/>
      </w:docPartObj>
    </w:sdtPr>
    <w:sdtContent>
      <w:p>
        <w:pPr>
          <w:pStyle w:val="2"/>
          <w:jc w:val="right"/>
        </w:pPr>
        <w:r>
          <w:rPr>
            <w:rFonts w:ascii="仿宋" w:hAnsi="仿宋" w:eastAsia="仿宋"/>
            <w:sz w:val="32"/>
            <w:szCs w:val="32"/>
          </w:rPr>
          <w:fldChar w:fldCharType="begin"/>
        </w:r>
        <w:r>
          <w:rPr>
            <w:rFonts w:ascii="仿宋" w:hAnsi="仿宋" w:eastAsia="仿宋"/>
            <w:sz w:val="32"/>
            <w:szCs w:val="32"/>
          </w:rPr>
          <w:instrText xml:space="preserve">PAGE   \* MERGEFORMAT</w:instrText>
        </w:r>
        <w:r>
          <w:rPr>
            <w:rFonts w:ascii="仿宋" w:hAnsi="仿宋" w:eastAsia="仿宋"/>
            <w:sz w:val="32"/>
            <w:szCs w:val="32"/>
          </w:rPr>
          <w:fldChar w:fldCharType="separate"/>
        </w:r>
        <w:r>
          <w:rPr>
            <w:rFonts w:ascii="仿宋" w:hAnsi="仿宋" w:eastAsia="仿宋"/>
            <w:sz w:val="32"/>
            <w:szCs w:val="32"/>
            <w:lang w:val="zh-CN"/>
          </w:rPr>
          <w:t>-</w:t>
        </w:r>
        <w:r>
          <w:rPr>
            <w:rFonts w:ascii="仿宋" w:hAnsi="仿宋" w:eastAsia="仿宋"/>
            <w:sz w:val="32"/>
            <w:szCs w:val="32"/>
          </w:rPr>
          <w:t xml:space="preserve"> 3 -</w:t>
        </w:r>
        <w:r>
          <w:rPr>
            <w:rFonts w:ascii="仿宋" w:hAnsi="仿宋" w:eastAsia="仿宋"/>
            <w:sz w:val="32"/>
            <w:szCs w:val="32"/>
          </w:rP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25740418"/>
      <w:docPartObj>
        <w:docPartGallery w:val="autotext"/>
      </w:docPartObj>
    </w:sdtPr>
    <w:sdtEndPr>
      <w:rPr>
        <w:rFonts w:ascii="仿宋" w:hAnsi="仿宋" w:eastAsia="仿宋"/>
        <w:sz w:val="32"/>
        <w:szCs w:val="32"/>
      </w:rPr>
    </w:sdtEndPr>
    <w:sdtContent>
      <w:p>
        <w:pPr>
          <w:pStyle w:val="2"/>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PAGE   \* MERGEFORMAT</w:instrText>
        </w:r>
        <w:r>
          <w:rPr>
            <w:rFonts w:ascii="仿宋" w:hAnsi="仿宋" w:eastAsia="仿宋"/>
            <w:sz w:val="32"/>
            <w:szCs w:val="32"/>
          </w:rPr>
          <w:fldChar w:fldCharType="separate"/>
        </w:r>
        <w:r>
          <w:rPr>
            <w:rFonts w:ascii="仿宋" w:hAnsi="仿宋" w:eastAsia="仿宋"/>
            <w:sz w:val="32"/>
            <w:szCs w:val="32"/>
            <w:lang w:val="zh-CN"/>
          </w:rPr>
          <w:t>-</w:t>
        </w:r>
        <w:r>
          <w:rPr>
            <w:rFonts w:ascii="仿宋" w:hAnsi="仿宋" w:eastAsia="仿宋"/>
            <w:sz w:val="32"/>
            <w:szCs w:val="32"/>
          </w:rPr>
          <w:t xml:space="preserve"> 2 -</w:t>
        </w:r>
        <w:r>
          <w:rPr>
            <w:rFonts w:ascii="仿宋" w:hAnsi="仿宋" w:eastAsia="仿宋"/>
            <w:sz w:val="32"/>
            <w:szCs w:val="32"/>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7B3522"/>
    <w:rsid w:val="0000263C"/>
    <w:rsid w:val="000134D7"/>
    <w:rsid w:val="000C17BB"/>
    <w:rsid w:val="002A7E63"/>
    <w:rsid w:val="002C3736"/>
    <w:rsid w:val="00347FE4"/>
    <w:rsid w:val="00426FB2"/>
    <w:rsid w:val="005A4270"/>
    <w:rsid w:val="00650D4A"/>
    <w:rsid w:val="00767540"/>
    <w:rsid w:val="007B3522"/>
    <w:rsid w:val="007E42AC"/>
    <w:rsid w:val="007F55D3"/>
    <w:rsid w:val="008A5F55"/>
    <w:rsid w:val="00947C4E"/>
    <w:rsid w:val="009737B9"/>
    <w:rsid w:val="009A436A"/>
    <w:rsid w:val="009A73BD"/>
    <w:rsid w:val="00A32319"/>
    <w:rsid w:val="00A446F0"/>
    <w:rsid w:val="00A96BB8"/>
    <w:rsid w:val="00AF00C1"/>
    <w:rsid w:val="00C316F5"/>
    <w:rsid w:val="00C37A7B"/>
    <w:rsid w:val="00D55361"/>
    <w:rsid w:val="00E042DE"/>
    <w:rsid w:val="00E87DDC"/>
    <w:rsid w:val="00EF4D5A"/>
    <w:rsid w:val="00F91650"/>
    <w:rsid w:val="00FC474F"/>
    <w:rsid w:val="01A011A2"/>
    <w:rsid w:val="07B40FAC"/>
    <w:rsid w:val="10BE2B73"/>
    <w:rsid w:val="185763BA"/>
    <w:rsid w:val="434E7880"/>
    <w:rsid w:val="50BB1DC2"/>
    <w:rsid w:val="559E4E66"/>
    <w:rsid w:val="56024BA5"/>
    <w:rsid w:val="58FC3B2E"/>
    <w:rsid w:val="5D11008D"/>
    <w:rsid w:val="65380813"/>
    <w:rsid w:val="70E57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0"/>
    <w:pPr>
      <w:spacing w:before="100" w:beforeAutospacing="1" w:after="100" w:afterAutospacing="1"/>
      <w:jc w:val="left"/>
    </w:pPr>
    <w:rPr>
      <w:rFonts w:ascii="Times New Roman" w:hAnsi="Times New Roman" w:eastAsia="宋体" w:cs="Times New Roman"/>
      <w:kern w:val="0"/>
      <w:sz w:val="24"/>
      <w:szCs w:val="24"/>
    </w:rPr>
  </w:style>
  <w:style w:type="character" w:styleId="7">
    <w:name w:val="Hyperlink"/>
    <w:basedOn w:val="6"/>
    <w:semiHidden/>
    <w:unhideWhenUsed/>
    <w:uiPriority w:val="99"/>
    <w:rPr>
      <w:color w:val="0000FF"/>
      <w:u w:val="single"/>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1385</Words>
  <Characters>7899</Characters>
  <Lines>65</Lines>
  <Paragraphs>18</Paragraphs>
  <TotalTime>201</TotalTime>
  <ScaleCrop>false</ScaleCrop>
  <LinksUpToDate>false</LinksUpToDate>
  <CharactersWithSpaces>9266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2021-03-19T01:03:00Z</dcterms:created>
  <dc:creator>BoBo</dc:creator>
  <cp:lastModifiedBy>cloud</cp:lastModifiedBy>
  <dcterms:modified xsi:type="dcterms:W3CDTF">2022-11-02T05:40:05Z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41B57FA3D69F477DBA136B8BCC7052B7</vt:lpwstr>
  </property>
</Properties>
</file>