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新宋体" w:hAnsi="新宋体" w:eastAsia="新宋体"/>
          <w:b/>
          <w:sz w:val="36"/>
        </w:rPr>
      </w:pPr>
      <w:r>
        <w:rPr>
          <w:rFonts w:hint="eastAsia" w:ascii="新宋体" w:hAnsi="新宋体" w:eastAsia="新宋体"/>
          <w:b/>
          <w:color w:val="auto"/>
          <w:sz w:val="36"/>
        </w:rPr>
        <w:t>建筑工程工程量清单编制说明</w:t>
      </w:r>
    </w:p>
    <w:p>
      <w:pPr>
        <w:spacing w:beforeLines="0" w:afterLines="0"/>
        <w:jc w:val="center"/>
        <w:rPr>
          <w:rFonts w:hint="eastAsia" w:ascii="新宋体" w:hAnsi="新宋体" w:eastAsia="新宋体"/>
          <w:sz w:val="28"/>
        </w:rPr>
      </w:pPr>
    </w:p>
    <w:p>
      <w:pPr>
        <w:spacing w:beforeLines="0" w:afterLines="0"/>
        <w:ind w:left="280" w:hanging="280" w:hangingChars="100"/>
        <w:jc w:val="left"/>
        <w:rPr>
          <w:rFonts w:hint="eastAsia" w:ascii="新宋体" w:hAnsi="新宋体" w:eastAsia="新宋体"/>
          <w:sz w:val="28"/>
          <w:u w:val="single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</w:rPr>
        <w:t>工程名称（全称）：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  <w:u w:val="single"/>
          <w:lang w:eastAsia="zh-CN"/>
        </w:rPr>
        <w:t>福建商学院马尾校区教学楼部分课桌椅维修、部分学生宿舍天棚抹灰项目工程</w:t>
      </w:r>
      <w:bookmarkStart w:id="0" w:name="_GoBack"/>
      <w:bookmarkEnd w:id="0"/>
    </w:p>
    <w:p>
      <w:pPr>
        <w:tabs>
          <w:tab w:val="left" w:pos="720"/>
        </w:tabs>
        <w:spacing w:beforeLines="0" w:afterLines="0"/>
        <w:ind w:left="720" w:hanging="72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工程概况</w:t>
      </w:r>
    </w:p>
    <w:p>
      <w:pPr>
        <w:spacing w:beforeLines="0" w:afterLines="0"/>
        <w:ind w:firstLine="555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1.建设地点：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  <w:u w:val="single"/>
          <w:lang w:eastAsia="zh-CN"/>
        </w:rPr>
        <w:t>福建马尾亭江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firstLine="555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2.工程专业：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房屋建筑与装饰工程专业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960" w:hanging="412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3.合同工期：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</w:rPr>
        <w:t>；工程质量等级：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u w:val="single"/>
          <w:lang w:eastAsia="zh-CN"/>
        </w:rPr>
        <w:t>合格工程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653" w:hanging="109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4.招标范围：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  <w:u w:val="single"/>
          <w:lang w:eastAsia="zh-CN"/>
        </w:rPr>
        <w:t>马尾校区部分课桌椅维修和部分宿舍天棚抹灰修补及洗衣池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</w:rPr>
        <w:t>；单独发包的专业工程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 xml:space="preserve">  /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960" w:hanging="412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5.工程特征：</w:t>
      </w:r>
    </w:p>
    <w:p>
      <w:pPr>
        <w:numPr>
          <w:ilvl w:val="0"/>
          <w:numId w:val="1"/>
        </w:numPr>
        <w:tabs>
          <w:tab w:val="left" w:pos="0"/>
        </w:tabs>
        <w:spacing w:beforeLines="0" w:afterLines="0"/>
        <w:ind w:left="72" w:firstLine="476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建筑面积：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</w:rPr>
        <w:t xml:space="preserve">。 </w:t>
      </w:r>
    </w:p>
    <w:p>
      <w:pPr>
        <w:numPr>
          <w:ilvl w:val="0"/>
          <w:numId w:val="1"/>
        </w:numPr>
        <w:tabs>
          <w:tab w:val="left" w:pos="0"/>
        </w:tabs>
        <w:spacing w:beforeLines="0" w:afterLines="0"/>
        <w:ind w:left="0" w:firstLine="548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层数：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</w:rPr>
        <w:t>；檐口高度：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numPr>
          <w:ilvl w:val="0"/>
          <w:numId w:val="1"/>
        </w:numPr>
        <w:tabs>
          <w:tab w:val="left" w:pos="885"/>
        </w:tabs>
        <w:spacing w:beforeLines="0" w:afterLines="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结构质式：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numPr>
          <w:ilvl w:val="0"/>
          <w:numId w:val="1"/>
        </w:numPr>
        <w:tabs>
          <w:tab w:val="left" w:pos="885"/>
        </w:tabs>
        <w:spacing w:beforeLines="0" w:afterLines="0"/>
        <w:ind w:left="0" w:firstLine="548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基础类型：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numPr>
          <w:ilvl w:val="0"/>
          <w:numId w:val="1"/>
        </w:numPr>
        <w:tabs>
          <w:tab w:val="left" w:pos="885"/>
        </w:tabs>
        <w:spacing w:beforeLines="0" w:afterLines="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000000"/>
          <w:sz w:val="28"/>
        </w:rPr>
        <w:t>装饰情况：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</w:t>
      </w:r>
      <w:r>
        <w:rPr>
          <w:rFonts w:hint="eastAsia" w:ascii="新宋体" w:hAnsi="新宋体" w:eastAsia="新宋体"/>
          <w:color w:val="auto"/>
          <w:sz w:val="28"/>
          <w:u w:val="single"/>
          <w:lang w:eastAsia="zh-CN"/>
        </w:rPr>
        <w:t>内墙、天棚修补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numPr>
          <w:ilvl w:val="0"/>
          <w:numId w:val="1"/>
        </w:numPr>
        <w:tabs>
          <w:tab w:val="left" w:pos="885"/>
        </w:tabs>
        <w:spacing w:beforeLines="0" w:afterLines="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000000"/>
          <w:sz w:val="28"/>
        </w:rPr>
        <w:t>混凝土情况：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tabs>
          <w:tab w:val="left" w:pos="720"/>
        </w:tabs>
        <w:spacing w:beforeLines="0" w:afterLines="0"/>
        <w:ind w:left="720" w:hanging="72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编制范围</w:t>
      </w:r>
    </w:p>
    <w:p>
      <w:pPr>
        <w:spacing w:beforeLines="0" w:afterLines="0"/>
        <w:ind w:firstLine="70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按照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</w:rPr>
        <w:t>设计的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</w:rPr>
        <w:t>图纸，专业范围包括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</w:rPr>
        <w:t>，具体如下：</w:t>
      </w:r>
    </w:p>
    <w:p>
      <w:pPr>
        <w:spacing w:beforeLines="0" w:afterLines="0"/>
        <w:ind w:firstLine="700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1.</w:t>
      </w:r>
      <w:r>
        <w:rPr>
          <w:rFonts w:hint="eastAsia" w:ascii="新宋体" w:hAnsi="新宋体" w:eastAsia="新宋体"/>
          <w:color w:val="auto"/>
          <w:sz w:val="28"/>
          <w:u w:val="single"/>
        </w:rPr>
        <w:t>不含三通一平</w:t>
      </w:r>
      <w:r>
        <w:rPr>
          <w:rFonts w:hint="eastAsia" w:ascii="新宋体" w:hAnsi="新宋体" w:eastAsia="新宋体"/>
          <w:color w:val="auto"/>
          <w:sz w:val="28"/>
        </w:rPr>
        <w:t>；</w:t>
      </w:r>
    </w:p>
    <w:p>
      <w:pPr>
        <w:spacing w:beforeLines="0" w:afterLines="0"/>
        <w:ind w:firstLine="700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2.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tabs>
          <w:tab w:val="left" w:pos="720"/>
        </w:tabs>
        <w:spacing w:beforeLines="0" w:afterLines="0"/>
        <w:ind w:left="720" w:hanging="72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编制依据</w:t>
      </w:r>
    </w:p>
    <w:p>
      <w:pPr>
        <w:spacing w:beforeLines="0" w:afterLines="0"/>
        <w:ind w:firstLine="56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1.图纸：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</w:rPr>
        <w:t>设计的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</w:rPr>
        <w:t>图纸及有关设计文件。</w:t>
      </w:r>
    </w:p>
    <w:p>
      <w:pPr>
        <w:spacing w:beforeLines="0" w:afterLines="0" w:line="360" w:lineRule="auto"/>
        <w:ind w:firstLine="56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2.其中存在与现行计价规定不一致的内容：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firstLine="56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3.地质勘察报告：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 w:line="600" w:lineRule="exact"/>
        <w:ind w:left="2" w:hanging="283"/>
        <w:jc w:val="left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 xml:space="preserve">      4.计价计量规范: </w:t>
      </w:r>
      <w:r>
        <w:rPr>
          <w:rFonts w:hint="eastAsia" w:ascii="新宋体" w:hAnsi="新宋体" w:eastAsia="新宋体"/>
          <w:color w:val="auto"/>
          <w:sz w:val="28"/>
          <w:u w:val="single"/>
        </w:rPr>
        <w:t>《建设工程工程量清单计价规范》(GB50500-2013)、各专业工程工程量清单计算规范(GB50854-50862-2013)及我省有关规定：《房屋建筑与装饰工程工程量计算规范》(GB50854-2013)福建省实施细则;《构筑物工程工程量计算规范》（GB50860-2013）福建省实施细则;《仿古建筑工程工程量计算规范》（GB50855-2013）福建省实施细则;《通用安装工程工程量计算规范》(GB50856-2013)福建省实施细则;《市政工程工程量计算规范》（GB50857-2013）福建省实施细则;《园林绿化工程工程量计算规范》（GB50858-2013）福建省实施细则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 w:line="600" w:lineRule="exact"/>
        <w:jc w:val="left"/>
        <w:outlineLvl w:val="1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 xml:space="preserve">   5.预算定额： 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《福建省房屋建筑与装饰工程预算定额》（2017版）;《福建省构筑物工程预算定额》（FJYD-102-2017）;《福建省装配式建筑工程预算定额》（FJYD-103-2017）;《福建省通用安装工程预算定额》（FJYD-301-2017～ FJYD-311-2017）;《福建省市政工程预算定额》（FJYD-401-2017～ FJYD-409-2017）;《福建省园林绿化工程预算定额》（FJYD-501-2017）;《福建省建设工程混凝土、砂浆等半成品配合比》（2017版）;《福建省古建筑修复保护工程预算定额》（2016版）;《福建省市政维护工程消耗量定额》（FJYD-601-2007）;《福建省混凝土和砂浆等半成品配合比》（2017版）   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firstLine="56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6.费用定额：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  <w:u w:val="single"/>
        </w:rPr>
        <w:fldChar w:fldCharType="begin"/>
      </w:r>
      <w:r>
        <w:rPr>
          <w:rFonts w:hint="eastAsia" w:ascii="新宋体" w:hAnsi="新宋体" w:eastAsia="新宋体"/>
          <w:color w:val="auto"/>
          <w:sz w:val="28"/>
          <w:u w:val="single"/>
        </w:rPr>
        <w:instrText xml:space="preserve"> HYPERLINK "http://www.fjgczj.com/newfile_view.asp?file_id=3&amp;msg_id=2220" \t "_blank" </w:instrText>
      </w:r>
      <w:r>
        <w:rPr>
          <w:rFonts w:hint="eastAsia" w:ascii="新宋体" w:hAnsi="新宋体" w:eastAsia="新宋体"/>
          <w:color w:val="auto"/>
          <w:sz w:val="28"/>
          <w:u w:val="single"/>
        </w:rPr>
        <w:fldChar w:fldCharType="separate"/>
      </w:r>
      <w:r>
        <w:rPr>
          <w:rFonts w:hint="eastAsia" w:ascii="新宋体" w:hAnsi="新宋体" w:eastAsia="新宋体"/>
          <w:color w:val="auto"/>
          <w:sz w:val="28"/>
          <w:u w:val="single"/>
        </w:rPr>
        <w:t>《福建省建筑安装工程费用定额》(2017版)</w:t>
      </w:r>
      <w:r>
        <w:rPr>
          <w:rFonts w:hint="eastAsia" w:ascii="新宋体" w:hAnsi="新宋体" w:eastAsia="新宋体"/>
          <w:color w:val="auto"/>
          <w:sz w:val="28"/>
          <w:u w:val="single"/>
        </w:rPr>
        <w:fldChar w:fldCharType="end"/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</w:rPr>
        <w:t>。其中，暂列金额：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0   </w:t>
      </w:r>
      <w:r>
        <w:rPr>
          <w:rFonts w:hint="eastAsia" w:ascii="新宋体" w:hAnsi="新宋体" w:eastAsia="新宋体"/>
          <w:color w:val="auto"/>
          <w:sz w:val="28"/>
        </w:rPr>
        <w:t>；专业工程暂估价：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0     </w:t>
      </w:r>
      <w:r>
        <w:rPr>
          <w:rFonts w:hint="eastAsia" w:ascii="新宋体" w:hAnsi="新宋体" w:eastAsia="新宋体"/>
          <w:color w:val="auto"/>
          <w:sz w:val="28"/>
        </w:rPr>
        <w:t>；甲供材料费：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0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四、材料设备品牌及甲供材料</w:t>
      </w:r>
    </w:p>
    <w:p>
      <w:pPr>
        <w:spacing w:beforeLines="0" w:afterLines="0"/>
        <w:ind w:firstLine="56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1.招标人要求的材料设备品牌</w:t>
      </w:r>
    </w:p>
    <w:tbl>
      <w:tblPr>
        <w:tblStyle w:val="7"/>
        <w:tblW w:w="78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944"/>
        <w:gridCol w:w="2727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名称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规格、型号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品牌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水泥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炼石、华润、金牛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新宋体" w:hAnsi="Calibri" w:eastAsia="新宋体" w:cs="新宋体"/>
                <w:kern w:val="0"/>
                <w:sz w:val="28"/>
                <w:szCs w:val="28"/>
                <w:lang w:val="zh-CN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Calibri" w:eastAsia="新宋体" w:cs="新宋体"/>
                <w:sz w:val="28"/>
                <w:szCs w:val="28"/>
                <w:lang w:val="zh-CN"/>
              </w:rPr>
              <w:t>按平均值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</w:tr>
    </w:tbl>
    <w:p>
      <w:pPr>
        <w:spacing w:beforeLines="0" w:afterLines="0"/>
        <w:ind w:firstLine="560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2.甲供材料一览表</w:t>
      </w:r>
    </w:p>
    <w:tbl>
      <w:tblPr>
        <w:tblStyle w:val="7"/>
        <w:tblW w:w="83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1066"/>
        <w:gridCol w:w="1958"/>
        <w:gridCol w:w="2295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材料名称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品牌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规格、型号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含税单价（元）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400" w:lineRule="exact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1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</w:rPr>
            </w:pPr>
          </w:p>
        </w:tc>
      </w:tr>
    </w:tbl>
    <w:p>
      <w:pPr>
        <w:spacing w:beforeLines="0" w:afterLines="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五、报价注意事项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1.土方工程：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无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2.桩基工程：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无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3.混凝土模板及支架：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无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4.脚手架：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</w:t>
      </w:r>
      <w:r>
        <w:rPr>
          <w:rFonts w:hint="eastAsia" w:ascii="新宋体" w:hAnsi="新宋体" w:eastAsia="新宋体"/>
          <w:color w:val="auto"/>
          <w:sz w:val="28"/>
          <w:u w:val="single"/>
          <w:lang w:eastAsia="zh-CN"/>
        </w:rPr>
        <w:t>扣件式钢管脚手架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5.施工排水、降水：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无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6.垂直运输：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无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7.大型机械设备进出场及安拆费：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无      </w:t>
      </w:r>
      <w:r>
        <w:rPr>
          <w:rFonts w:hint="eastAsia" w:ascii="新宋体" w:hAnsi="新宋体" w:eastAsia="新宋体"/>
          <w:color w:val="auto"/>
          <w:sz w:val="28"/>
        </w:rPr>
        <w:t>；大型机械设备基础：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无     </w:t>
      </w:r>
      <w:r>
        <w:rPr>
          <w:rFonts w:hint="eastAsia" w:ascii="新宋体" w:hAnsi="新宋体" w:eastAsia="新宋体"/>
          <w:color w:val="auto"/>
          <w:sz w:val="28"/>
        </w:rPr>
        <w:t>；大型机械设备检测：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无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8.基坑支护工程拆除：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无 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9.材料二次搬运：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u w:val="single"/>
          <w:lang w:eastAsia="zh-CN"/>
        </w:rPr>
        <w:t>已考虑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  <w:u w:val="single"/>
        </w:rPr>
      </w:pPr>
      <w:r>
        <w:rPr>
          <w:rFonts w:hint="eastAsia" w:ascii="新宋体" w:hAnsi="新宋体" w:eastAsia="新宋体"/>
          <w:color w:val="auto"/>
          <w:sz w:val="28"/>
        </w:rPr>
        <w:t>10.需要二次深化设计的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u w:val="single"/>
          <w:lang w:val="en-US" w:eastAsia="zh-CN"/>
        </w:rPr>
        <w:t>/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</w:rPr>
        <w:t>，按招标文件规定据实调整工程量和综合单价，其投标单价不得优惠。</w:t>
      </w:r>
    </w:p>
    <w:p>
      <w:pPr>
        <w:spacing w:beforeLines="0" w:afterLines="0"/>
        <w:ind w:left="34" w:firstLine="566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</w:rPr>
        <w:t>11.其他：</w:t>
      </w: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       无           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spacing w:beforeLines="0" w:afterLines="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六、本项目补充的工程量清单</w:t>
      </w:r>
    </w:p>
    <w:tbl>
      <w:tblPr>
        <w:tblStyle w:val="7"/>
        <w:tblW w:w="8567" w:type="dxa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036"/>
        <w:gridCol w:w="1724"/>
        <w:gridCol w:w="1416"/>
        <w:gridCol w:w="1536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项目编码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项目名称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项目特征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计量单位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工程量计算规则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</w:rPr>
              <w:t>工程内容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</w:rPr>
            </w:pPr>
          </w:p>
        </w:tc>
      </w:tr>
    </w:tbl>
    <w:p>
      <w:pPr>
        <w:spacing w:beforeLines="0" w:afterLines="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七、其他需要的说明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400" w:lineRule="exact"/>
        <w:ind w:firstLine="557" w:firstLineChars="199"/>
        <w:textAlignment w:val="auto"/>
        <w:outlineLvl w:val="9"/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  <w:t>1、卫生间采用外墙透明防水胶高度按2米计算，包括水表箱的四周；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400" w:lineRule="exact"/>
        <w:ind w:firstLine="557" w:firstLineChars="199"/>
        <w:textAlignment w:val="auto"/>
        <w:outlineLvl w:val="9"/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  <w:t>2、考虑到图书馆外墙采用透明防水胶，需采用脚手架，高度为8米；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400" w:lineRule="exact"/>
        <w:ind w:firstLine="557" w:firstLineChars="199"/>
        <w:textAlignment w:val="auto"/>
        <w:outlineLvl w:val="9"/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  <w:t>3、本工程量的全部工程量都由业主提供；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400" w:lineRule="exact"/>
        <w:ind w:firstLine="557" w:firstLineChars="199"/>
        <w:textAlignment w:val="auto"/>
        <w:outlineLvl w:val="9"/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  <w:t>4、卫生间瓷砖不拆除，采用新型材料透明防水胶；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400" w:lineRule="exact"/>
        <w:ind w:firstLine="557" w:firstLineChars="199"/>
        <w:textAlignment w:val="auto"/>
        <w:outlineLvl w:val="9"/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  <w:t>5、电脑搬至150米处仓库存放，桌子搬至200米处仓库存放；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400" w:lineRule="exact"/>
        <w:ind w:firstLine="560" w:firstLineChars="200"/>
        <w:textAlignment w:val="auto"/>
        <w:outlineLvl w:val="9"/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  <w:szCs w:val="22"/>
          <w:lang w:val="en-US" w:eastAsia="zh-CN"/>
        </w:rPr>
        <w:t>6、阳台增加洗衣池44套。</w:t>
      </w:r>
    </w:p>
    <w:p>
      <w:pPr>
        <w:spacing w:beforeLines="0" w:afterLines="0"/>
        <w:rPr>
          <w:rFonts w:hint="eastAsia" w:ascii="新宋体" w:hAnsi="新宋体" w:eastAsia="新宋体"/>
          <w:b/>
          <w:sz w:val="28"/>
        </w:rPr>
      </w:pPr>
      <w:r>
        <w:rPr>
          <w:rFonts w:hint="eastAsia" w:ascii="新宋体" w:hAnsi="新宋体" w:eastAsia="新宋体"/>
          <w:b/>
          <w:color w:val="auto"/>
          <w:sz w:val="28"/>
        </w:rPr>
        <w:t>工程量清单审核情况（增减、修改情况，审核单位填写）</w:t>
      </w:r>
    </w:p>
    <w:p>
      <w:pPr>
        <w:spacing w:beforeLines="0" w:afterLines="0"/>
        <w:jc w:val="left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color w:val="auto"/>
          <w:sz w:val="28"/>
          <w:u w:val="single"/>
        </w:rPr>
        <w:t xml:space="preserve">                              </w:t>
      </w:r>
      <w:r>
        <w:rPr>
          <w:rFonts w:hint="eastAsia" w:ascii="新宋体" w:hAnsi="新宋体" w:eastAsia="新宋体"/>
          <w:color w:val="auto"/>
          <w:sz w:val="28"/>
        </w:rPr>
        <w:t>。</w:t>
      </w:r>
    </w:p>
    <w:p>
      <w:pPr>
        <w:tabs>
          <w:tab w:val="left" w:pos="5277"/>
        </w:tabs>
        <w:spacing w:beforeLines="0" w:afterLines="0"/>
        <w:rPr>
          <w:rFonts w:hint="eastAsia" w:ascii="新宋体" w:hAnsi="新宋体" w:eastAsia="新宋体"/>
          <w:sz w:val="28"/>
          <w:lang w:eastAsia="zh-CN"/>
        </w:rPr>
      </w:pPr>
      <w:r>
        <w:rPr>
          <w:rFonts w:hint="eastAsia" w:ascii="新宋体" w:hAnsi="新宋体" w:eastAsia="新宋体"/>
          <w:sz w:val="28"/>
          <w:lang w:eastAsia="zh-CN"/>
        </w:rPr>
        <w:tab/>
      </w:r>
    </w:p>
    <w:p/>
    <w:sectPr>
      <w:footerReference r:id="rId3" w:type="even"/>
      <w:pgSz w:w="11906" w:h="16838"/>
      <w:pgMar w:top="1701" w:right="1797" w:bottom="1956" w:left="1797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y="1"/>
      <w:tabs>
        <w:tab w:val="center" w:pos="4153"/>
        <w:tab w:val="right" w:pos="8306"/>
      </w:tabs>
      <w:spacing w:beforeLines="0" w:afterLines="0"/>
      <w:rPr>
        <w:rFonts w:hint="eastAsia"/>
        <w:sz w:val="18"/>
      </w:rPr>
    </w:pPr>
    <w:r>
      <w:rPr>
        <w:rStyle w:val="4"/>
        <w:rFonts w:hint="eastAsia"/>
        <w:color w:val="auto"/>
        <w:sz w:val="18"/>
      </w:rPr>
      <w:fldChar w:fldCharType="begin"/>
    </w:r>
    <w:r>
      <w:rPr>
        <w:rStyle w:val="4"/>
        <w:rFonts w:hint="eastAsia"/>
        <w:color w:val="auto"/>
        <w:sz w:val="18"/>
      </w:rPr>
      <w:instrText xml:space="preserve">PAGE  </w:instrText>
    </w:r>
    <w:r>
      <w:rPr>
        <w:rStyle w:val="4"/>
        <w:rFonts w:hint="eastAsia"/>
        <w:color w:val="auto"/>
        <w:sz w:val="18"/>
      </w:rPr>
      <w:fldChar w:fldCharType="separate"/>
    </w:r>
    <w:r>
      <w:rPr>
        <w:rStyle w:val="4"/>
        <w:rFonts w:hint="eastAsia"/>
        <w:color w:val="auto"/>
        <w:sz w:val="18"/>
      </w:rPr>
      <w:t>#</w:t>
    </w:r>
    <w:r>
      <w:rPr>
        <w:rStyle w:val="4"/>
        <w:rFonts w:hint="eastAsia"/>
        <w:color w:val="auto"/>
        <w:sz w:val="18"/>
      </w:rPr>
      <w:fldChar w:fldCharType="end"/>
    </w:r>
  </w:p>
  <w:p>
    <w:pPr>
      <w:pStyle w:val="2"/>
      <w:tabs>
        <w:tab w:val="center" w:pos="4153"/>
        <w:tab w:val="right" w:pos="8306"/>
      </w:tabs>
      <w:spacing w:beforeLines="0" w:afterLines="0"/>
      <w:rPr>
        <w:rFonts w:hint="eastAsia"/>
        <w:sz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ind w:left="968" w:hanging="420"/>
      </w:pPr>
      <w:rPr>
        <w:rFonts w:hint="default"/>
        <w:u w:val="none" w:color="auto"/>
      </w:rPr>
    </w:lvl>
    <w:lvl w:ilvl="1" w:tentative="0">
      <w:start w:val="1"/>
      <w:numFmt w:val="lowerLetter"/>
      <w:lvlText w:val="%2)"/>
      <w:lvlJc w:val="left"/>
      <w:pPr>
        <w:ind w:left="1388" w:hanging="420"/>
      </w:pPr>
      <w:rPr>
        <w:rFonts w:hint="default"/>
        <w:u w:val="none" w:color="auto"/>
      </w:rPr>
    </w:lvl>
    <w:lvl w:ilvl="2" w:tentative="0">
      <w:start w:val="1"/>
      <w:numFmt w:val="lowerRoman"/>
      <w:lvlText w:val="%3."/>
      <w:lvlJc w:val="right"/>
      <w:pPr>
        <w:ind w:left="1808" w:hanging="420"/>
      </w:pPr>
      <w:rPr>
        <w:rFonts w:hint="default"/>
        <w:u w:val="none" w:color="auto"/>
      </w:rPr>
    </w:lvl>
    <w:lvl w:ilvl="3" w:tentative="0">
      <w:start w:val="1"/>
      <w:numFmt w:val="decimal"/>
      <w:lvlText w:val="%4."/>
      <w:lvlJc w:val="left"/>
      <w:pPr>
        <w:ind w:left="2228" w:hanging="420"/>
      </w:pPr>
      <w:rPr>
        <w:rFonts w:hint="default"/>
        <w:u w:val="none" w:color="auto"/>
      </w:rPr>
    </w:lvl>
    <w:lvl w:ilvl="4" w:tentative="0">
      <w:start w:val="1"/>
      <w:numFmt w:val="lowerLetter"/>
      <w:lvlText w:val="%5)"/>
      <w:lvlJc w:val="left"/>
      <w:pPr>
        <w:ind w:left="2648" w:hanging="420"/>
      </w:pPr>
      <w:rPr>
        <w:rFonts w:hint="default"/>
        <w:u w:val="none" w:color="auto"/>
      </w:rPr>
    </w:lvl>
    <w:lvl w:ilvl="5" w:tentative="0">
      <w:start w:val="1"/>
      <w:numFmt w:val="lowerRoman"/>
      <w:lvlText w:val="%6."/>
      <w:lvlJc w:val="right"/>
      <w:pPr>
        <w:ind w:left="3068" w:hanging="420"/>
      </w:pPr>
      <w:rPr>
        <w:rFonts w:hint="default"/>
        <w:u w:val="none" w:color="auto"/>
      </w:rPr>
    </w:lvl>
    <w:lvl w:ilvl="6" w:tentative="0">
      <w:start w:val="1"/>
      <w:numFmt w:val="decimal"/>
      <w:lvlText w:val="%7."/>
      <w:lvlJc w:val="left"/>
      <w:pPr>
        <w:ind w:left="3488" w:hanging="420"/>
      </w:pPr>
      <w:rPr>
        <w:rFonts w:hint="default"/>
        <w:u w:val="none" w:color="auto"/>
      </w:rPr>
    </w:lvl>
    <w:lvl w:ilvl="7" w:tentative="0">
      <w:start w:val="1"/>
      <w:numFmt w:val="lowerLetter"/>
      <w:lvlText w:val="%8)"/>
      <w:lvlJc w:val="left"/>
      <w:pPr>
        <w:ind w:left="3908" w:hanging="420"/>
      </w:pPr>
      <w:rPr>
        <w:rFonts w:hint="default"/>
        <w:u w:val="none" w:color="auto"/>
      </w:rPr>
    </w:lvl>
    <w:lvl w:ilvl="8" w:tentative="0">
      <w:start w:val="1"/>
      <w:numFmt w:val="lowerRoman"/>
      <w:lvlText w:val="%9."/>
      <w:lvlJc w:val="right"/>
      <w:pPr>
        <w:ind w:left="4328" w:hanging="420"/>
      </w:pPr>
      <w:rPr>
        <w:rFonts w:hint="default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60B57DF"/>
    <w:rsid w:val="30DC1B5B"/>
    <w:rsid w:val="406B2933"/>
    <w:rsid w:val="55582FFF"/>
    <w:rsid w:val="63A6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  <w:jc w:val="both"/>
    </w:pPr>
    <w:rPr>
      <w:rFonts w:hint="eastAsia" w:ascii="Times New Roman" w:hAnsi="Times New Roman" w:eastAsia="Times New Roman" w:cs="Times New Roman"/>
      <w:sz w:val="21"/>
      <w:lang w:val="zh-CN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pacing w:beforeLines="0" w:afterLines="0"/>
      <w:jc w:val="left"/>
    </w:pPr>
    <w:rPr>
      <w:rFonts w:hint="eastAsia"/>
      <w:sz w:val="18"/>
    </w:rPr>
  </w:style>
  <w:style w:type="character" w:styleId="4">
    <w:name w:val="page number"/>
    <w:basedOn w:val="3"/>
    <w:unhideWhenUsed/>
    <w:qFormat/>
    <w:uiPriority w:val="99"/>
    <w:rPr>
      <w:rFonts w:hint="eastAsia"/>
      <w:sz w:val="24"/>
    </w:rPr>
  </w:style>
  <w:style w:type="character" w:styleId="5">
    <w:name w:val="line number"/>
    <w:basedOn w:val="3"/>
    <w:unhideWhenUsed/>
    <w:qFormat/>
    <w:uiPriority w:val="99"/>
    <w:rPr>
      <w:rFonts w:hint="eastAsia"/>
      <w:sz w:val="24"/>
    </w:rPr>
  </w:style>
  <w:style w:type="character" w:styleId="6">
    <w:name w:val="Hyperlink"/>
    <w:unhideWhenUsed/>
    <w:qFormat/>
    <w:uiPriority w:val="99"/>
    <w:rPr>
      <w:rFonts w:hint="eastAsia" w:ascii="Times New Roman" w:hAnsi="Times New Roman" w:eastAsia="Times New Roman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2018-07-20T07:31:00Z</dcterms:created>
  <dc:creator>Administrator</dc:creator>
  <cp:lastModifiedBy>Administrator</cp:lastModifiedBy>
  <dcterms:modified xsi:type="dcterms:W3CDTF">2018-07-25T07:07:25Z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