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bCs/>
          <w:sz w:val="28"/>
          <w:szCs w:val="28"/>
        </w:rPr>
      </w:pPr>
      <w:r>
        <w:rPr>
          <w:rFonts w:hint="eastAsia" w:ascii="宋体" w:hAnsi="宋体" w:cs="宋体"/>
          <w:b/>
          <w:bCs/>
          <w:sz w:val="28"/>
          <w:szCs w:val="28"/>
        </w:rPr>
        <w:t>询价公告-福建商学院连江校区图书馆室内监控设备采购安装项目</w:t>
      </w:r>
    </w:p>
    <w:p>
      <w:pPr>
        <w:rPr>
          <w:rFonts w:ascii="宋体" w:hAnsi="宋体" w:cs="宋体"/>
          <w:b/>
          <w:bCs/>
          <w:sz w:val="24"/>
        </w:rPr>
      </w:pP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1、项目名称：福建商学院连江校区图书馆室内监控设备采购安装项目</w:t>
      </w:r>
    </w:p>
    <w:p>
      <w:pPr>
        <w:spacing w:line="360" w:lineRule="auto"/>
        <w:rPr>
          <w:rFonts w:ascii="宋体" w:hAnsi="宋体" w:cs="宋体"/>
          <w:sz w:val="24"/>
        </w:rPr>
      </w:pPr>
      <w:r>
        <w:rPr>
          <w:rFonts w:hint="eastAsia" w:ascii="宋体" w:hAnsi="宋体" w:cs="宋体"/>
          <w:sz w:val="24"/>
        </w:rPr>
        <w:t>2、项目概况及采购内容：本项目设计安装点为连江校区图书馆室内：四个开架书库，四个自习室，一个信息素养教室，一个期刊阅览室，两个室内活动室。共安装2</w:t>
      </w:r>
      <w:r>
        <w:rPr>
          <w:rFonts w:ascii="宋体" w:hAnsi="宋体" w:cs="宋体"/>
          <w:sz w:val="24"/>
        </w:rPr>
        <w:t>0</w:t>
      </w:r>
      <w:r>
        <w:rPr>
          <w:rFonts w:hint="eastAsia" w:ascii="宋体" w:hAnsi="宋体" w:cs="宋体"/>
          <w:sz w:val="24"/>
        </w:rPr>
        <w:t>个摄像头进行室内实时监控。</w:t>
      </w:r>
    </w:p>
    <w:p>
      <w:pPr>
        <w:numPr>
          <w:ilvl w:val="0"/>
          <w:numId w:val="1"/>
        </w:numPr>
        <w:spacing w:line="360" w:lineRule="auto"/>
        <w:rPr>
          <w:rFonts w:ascii="宋体" w:hAnsi="宋体" w:cs="宋体"/>
          <w:sz w:val="24"/>
        </w:rPr>
      </w:pPr>
      <w:r>
        <w:rPr>
          <w:rFonts w:hint="eastAsia" w:ascii="宋体" w:hAnsi="宋体" w:cs="宋体"/>
          <w:sz w:val="24"/>
        </w:rPr>
        <w:t>项目预算：</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35"/>
        <w:gridCol w:w="2402"/>
        <w:gridCol w:w="1753"/>
        <w:gridCol w:w="845"/>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066" w:type="dxa"/>
            <w:vAlign w:val="center"/>
          </w:tcPr>
          <w:p>
            <w:pPr>
              <w:spacing w:line="360" w:lineRule="auto"/>
              <w:jc w:val="center"/>
              <w:rPr>
                <w:rFonts w:ascii="宋体" w:hAnsi="宋体" w:cs="宋体"/>
                <w:sz w:val="24"/>
              </w:rPr>
            </w:pPr>
            <w:r>
              <w:rPr>
                <w:rFonts w:hint="eastAsia" w:ascii="宋体" w:hAnsi="宋体" w:cs="宋体"/>
                <w:sz w:val="24"/>
              </w:rPr>
              <w:t>合同包</w:t>
            </w:r>
          </w:p>
        </w:tc>
        <w:tc>
          <w:tcPr>
            <w:tcW w:w="1035" w:type="dxa"/>
            <w:vAlign w:val="center"/>
          </w:tcPr>
          <w:p>
            <w:pPr>
              <w:spacing w:line="360" w:lineRule="auto"/>
              <w:jc w:val="center"/>
              <w:rPr>
                <w:rFonts w:ascii="宋体" w:hAnsi="宋体" w:cs="宋体"/>
                <w:sz w:val="24"/>
              </w:rPr>
            </w:pPr>
            <w:r>
              <w:rPr>
                <w:rFonts w:hint="eastAsia" w:ascii="宋体" w:hAnsi="宋体" w:cs="宋体"/>
                <w:sz w:val="24"/>
              </w:rPr>
              <w:t>品目号</w:t>
            </w:r>
          </w:p>
        </w:tc>
        <w:tc>
          <w:tcPr>
            <w:tcW w:w="2402" w:type="dxa"/>
            <w:vAlign w:val="center"/>
          </w:tcPr>
          <w:p>
            <w:pPr>
              <w:spacing w:line="360" w:lineRule="auto"/>
              <w:jc w:val="center"/>
              <w:rPr>
                <w:rFonts w:ascii="宋体" w:hAnsi="宋体" w:cs="宋体"/>
                <w:sz w:val="24"/>
              </w:rPr>
            </w:pPr>
            <w:r>
              <w:rPr>
                <w:rFonts w:hint="eastAsia" w:ascii="宋体" w:hAnsi="宋体" w:cs="宋体"/>
                <w:sz w:val="24"/>
              </w:rPr>
              <w:t>品目名称</w:t>
            </w:r>
          </w:p>
        </w:tc>
        <w:tc>
          <w:tcPr>
            <w:tcW w:w="1753" w:type="dxa"/>
            <w:vAlign w:val="center"/>
          </w:tcPr>
          <w:p>
            <w:pPr>
              <w:spacing w:line="360" w:lineRule="auto"/>
              <w:jc w:val="center"/>
              <w:rPr>
                <w:rFonts w:ascii="宋体" w:hAnsi="宋体" w:cs="宋体"/>
                <w:sz w:val="24"/>
              </w:rPr>
            </w:pPr>
            <w:r>
              <w:rPr>
                <w:rFonts w:hint="eastAsia" w:ascii="宋体" w:hAnsi="宋体" w:cs="宋体"/>
                <w:sz w:val="24"/>
              </w:rPr>
              <w:t>主要参数要求</w:t>
            </w:r>
          </w:p>
        </w:tc>
        <w:tc>
          <w:tcPr>
            <w:tcW w:w="845" w:type="dxa"/>
            <w:vAlign w:val="center"/>
          </w:tcPr>
          <w:p>
            <w:pPr>
              <w:spacing w:line="360" w:lineRule="auto"/>
              <w:jc w:val="center"/>
              <w:rPr>
                <w:rFonts w:ascii="宋体" w:hAnsi="宋体" w:cs="宋体"/>
                <w:sz w:val="24"/>
              </w:rPr>
            </w:pPr>
            <w:r>
              <w:rPr>
                <w:rFonts w:hint="eastAsia" w:ascii="宋体" w:hAnsi="宋体" w:cs="宋体"/>
                <w:sz w:val="24"/>
              </w:rPr>
              <w:t>数量</w:t>
            </w:r>
          </w:p>
        </w:tc>
        <w:tc>
          <w:tcPr>
            <w:tcW w:w="1421" w:type="dxa"/>
            <w:vAlign w:val="center"/>
          </w:tcPr>
          <w:p>
            <w:pPr>
              <w:spacing w:line="360" w:lineRule="auto"/>
              <w:jc w:val="center"/>
              <w:rPr>
                <w:rFonts w:ascii="宋体" w:hAnsi="宋体" w:cs="宋体"/>
                <w:sz w:val="24"/>
              </w:rPr>
            </w:pPr>
            <w:r>
              <w:rPr>
                <w:rFonts w:hint="eastAsia" w:ascii="宋体" w:hAnsi="宋体" w:cs="宋体"/>
                <w:sz w:val="24"/>
              </w:rPr>
              <w:t>最高限价</w:t>
            </w:r>
          </w:p>
          <w:p>
            <w:pPr>
              <w:spacing w:line="360" w:lineRule="auto"/>
              <w:jc w:val="center"/>
              <w:rPr>
                <w:rFonts w:ascii="宋体" w:hAnsi="宋体" w:cs="宋体"/>
                <w:sz w:val="24"/>
              </w:rPr>
            </w:pPr>
            <w:r>
              <w:rPr>
                <w:rFonts w:hint="eastAsia" w:ascii="宋体" w:hAnsi="宋体" w:cs="宋体"/>
                <w:sz w:val="24"/>
              </w:rPr>
              <w:t>预算金额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066" w:type="dxa"/>
          </w:tcPr>
          <w:p>
            <w:pPr>
              <w:spacing w:line="360" w:lineRule="auto"/>
              <w:jc w:val="center"/>
              <w:rPr>
                <w:rFonts w:ascii="宋体" w:hAnsi="宋体" w:cs="宋体"/>
                <w:sz w:val="24"/>
              </w:rPr>
            </w:pPr>
            <w:r>
              <w:rPr>
                <w:rFonts w:hint="eastAsia" w:ascii="宋体" w:hAnsi="宋体" w:cs="宋体"/>
                <w:sz w:val="24"/>
              </w:rPr>
              <w:t>1</w:t>
            </w:r>
          </w:p>
        </w:tc>
        <w:tc>
          <w:tcPr>
            <w:tcW w:w="1035" w:type="dxa"/>
          </w:tcPr>
          <w:p>
            <w:pPr>
              <w:spacing w:line="360" w:lineRule="auto"/>
              <w:jc w:val="center"/>
              <w:rPr>
                <w:rFonts w:ascii="宋体" w:hAnsi="宋体" w:cs="宋体"/>
                <w:sz w:val="24"/>
              </w:rPr>
            </w:pPr>
            <w:r>
              <w:rPr>
                <w:rFonts w:hint="eastAsia" w:ascii="宋体" w:hAnsi="宋体" w:cs="宋体"/>
                <w:sz w:val="24"/>
              </w:rPr>
              <w:t>1</w:t>
            </w:r>
          </w:p>
        </w:tc>
        <w:tc>
          <w:tcPr>
            <w:tcW w:w="2402" w:type="dxa"/>
          </w:tcPr>
          <w:p>
            <w:pPr>
              <w:spacing w:line="360" w:lineRule="auto"/>
              <w:jc w:val="center"/>
              <w:rPr>
                <w:rFonts w:ascii="宋体" w:hAnsi="宋体" w:cs="宋体"/>
                <w:sz w:val="24"/>
              </w:rPr>
            </w:pPr>
            <w:r>
              <w:rPr>
                <w:rFonts w:hint="eastAsia" w:ascii="宋体" w:hAnsi="宋体" w:cs="宋体"/>
                <w:sz w:val="24"/>
              </w:rPr>
              <w:t>图书馆室内监控设备</w:t>
            </w:r>
          </w:p>
        </w:tc>
        <w:tc>
          <w:tcPr>
            <w:tcW w:w="1753" w:type="dxa"/>
          </w:tcPr>
          <w:p>
            <w:pPr>
              <w:spacing w:line="360" w:lineRule="auto"/>
              <w:jc w:val="center"/>
              <w:rPr>
                <w:rFonts w:ascii="宋体" w:hAnsi="宋体" w:cs="宋体"/>
                <w:sz w:val="24"/>
              </w:rPr>
            </w:pPr>
            <w:r>
              <w:rPr>
                <w:rFonts w:hint="eastAsia" w:ascii="宋体" w:hAnsi="宋体" w:cs="宋体"/>
                <w:sz w:val="24"/>
              </w:rPr>
              <w:t>详见附件</w:t>
            </w:r>
          </w:p>
        </w:tc>
        <w:tc>
          <w:tcPr>
            <w:tcW w:w="845" w:type="dxa"/>
          </w:tcPr>
          <w:p>
            <w:pPr>
              <w:spacing w:line="360" w:lineRule="auto"/>
              <w:jc w:val="center"/>
              <w:rPr>
                <w:rFonts w:ascii="宋体" w:hAnsi="宋体" w:cs="宋体"/>
                <w:sz w:val="24"/>
              </w:rPr>
            </w:pPr>
            <w:r>
              <w:rPr>
                <w:rFonts w:hint="eastAsia" w:ascii="宋体" w:hAnsi="宋体" w:cs="宋体"/>
                <w:sz w:val="24"/>
              </w:rPr>
              <w:t>1批</w:t>
            </w:r>
          </w:p>
        </w:tc>
        <w:tc>
          <w:tcPr>
            <w:tcW w:w="1421" w:type="dxa"/>
          </w:tcPr>
          <w:p>
            <w:pPr>
              <w:spacing w:line="360" w:lineRule="auto"/>
              <w:jc w:val="center"/>
              <w:rPr>
                <w:rFonts w:ascii="宋体" w:hAnsi="宋体" w:cs="宋体"/>
                <w:sz w:val="24"/>
              </w:rPr>
            </w:pPr>
            <w:r>
              <w:rPr>
                <w:rFonts w:hint="eastAsia" w:ascii="宋体" w:hAnsi="宋体" w:cs="宋体"/>
                <w:sz w:val="24"/>
              </w:rPr>
              <w:t>2</w:t>
            </w:r>
            <w:r>
              <w:rPr>
                <w:rFonts w:ascii="宋体" w:hAnsi="宋体" w:cs="宋体"/>
                <w:sz w:val="24"/>
              </w:rPr>
              <w:t>78</w:t>
            </w:r>
            <w:r>
              <w:rPr>
                <w:rFonts w:hint="eastAsia" w:ascii="宋体" w:hAnsi="宋体" w:cs="宋体"/>
                <w:sz w:val="24"/>
              </w:rPr>
              <w:t>00元</w:t>
            </w:r>
          </w:p>
        </w:tc>
      </w:tr>
    </w:tbl>
    <w:p>
      <w:pPr>
        <w:spacing w:line="360" w:lineRule="auto"/>
        <w:rPr>
          <w:rFonts w:ascii="宋体" w:hAnsi="宋体" w:cs="宋体"/>
          <w:sz w:val="24"/>
        </w:rPr>
      </w:pPr>
      <w:r>
        <w:rPr>
          <w:rFonts w:hint="eastAsia" w:ascii="宋体" w:hAnsi="宋体" w:cs="宋体"/>
          <w:sz w:val="24"/>
        </w:rPr>
        <w:t>总金额包含税收、产品、装卸、安装备件及材料、专用工具、安装、调试、人工、检验及技术资料、运输和保险等项目相关的一切费用；投标按单价、总价报价，超过最高限价的投标无效.</w:t>
      </w:r>
    </w:p>
    <w:p>
      <w:pPr>
        <w:spacing w:line="360" w:lineRule="auto"/>
        <w:rPr>
          <w:rFonts w:ascii="宋体" w:hAnsi="宋体" w:cs="宋体"/>
          <w:sz w:val="24"/>
        </w:rPr>
      </w:pPr>
      <w:r>
        <w:rPr>
          <w:rFonts w:hint="eastAsia" w:ascii="宋体" w:hAnsi="宋体" w:cs="宋体"/>
          <w:sz w:val="24"/>
        </w:rPr>
        <w:t>4、报价单位资格要求：须具备独立承担民事责任能力的中华人民共和国境内注册的法人，且有能力履行本项目所必须的设备和专业技术能力。</w:t>
      </w:r>
    </w:p>
    <w:p>
      <w:pPr>
        <w:spacing w:line="360" w:lineRule="auto"/>
        <w:rPr>
          <w:rFonts w:ascii="宋体" w:hAnsi="宋体" w:cs="宋体"/>
          <w:sz w:val="24"/>
        </w:rPr>
      </w:pPr>
      <w:r>
        <w:rPr>
          <w:rFonts w:hint="eastAsia" w:ascii="宋体" w:hAnsi="宋体" w:cs="宋体"/>
          <w:sz w:val="24"/>
        </w:rPr>
        <w:t>5、项目要求：</w:t>
      </w:r>
    </w:p>
    <w:p>
      <w:pPr>
        <w:pStyle w:val="2"/>
        <w:spacing w:line="360" w:lineRule="auto"/>
        <w:rPr>
          <w:rFonts w:ascii="宋体" w:hAnsi="宋体" w:cs="宋体"/>
          <w:sz w:val="24"/>
        </w:rPr>
      </w:pPr>
      <w:r>
        <w:rPr>
          <w:rFonts w:hint="eastAsia" w:ascii="宋体" w:hAnsi="宋体" w:cs="宋体"/>
          <w:sz w:val="24"/>
        </w:rPr>
        <w:t>(1)在保证监控系统的清晰度、稳定性、安全性、标准化的同时，需保证本系统前端设备与现场环境的融入度，</w:t>
      </w:r>
      <w:r>
        <w:rPr>
          <w:rFonts w:hint="eastAsia" w:ascii="宋体" w:hAnsi="宋体" w:cs="宋体"/>
          <w:color w:val="000000" w:themeColor="text1"/>
          <w:sz w:val="24"/>
          <w14:textFill>
            <w14:solidFill>
              <w14:schemeClr w14:val="tx1"/>
            </w14:solidFill>
          </w14:textFill>
        </w:rPr>
        <w:t>保证图书馆</w:t>
      </w:r>
      <w:r>
        <w:rPr>
          <w:rFonts w:ascii="宋体" w:hAnsi="宋体" w:cs="宋体"/>
          <w:color w:val="000000" w:themeColor="text1"/>
          <w:sz w:val="24"/>
          <w14:textFill>
            <w14:solidFill>
              <w14:schemeClr w14:val="tx1"/>
            </w14:solidFill>
          </w14:textFill>
        </w:rPr>
        <w:t>室内原有电器设备</w:t>
      </w:r>
      <w:r>
        <w:rPr>
          <w:rFonts w:hint="eastAsia" w:ascii="宋体" w:hAnsi="宋体" w:cs="宋体"/>
          <w:color w:val="000000" w:themeColor="text1"/>
          <w:sz w:val="24"/>
          <w14:textFill>
            <w14:solidFill>
              <w14:schemeClr w14:val="tx1"/>
            </w14:solidFill>
          </w14:textFill>
        </w:rPr>
        <w:t>正常运行，</w:t>
      </w:r>
      <w:r>
        <w:rPr>
          <w:rFonts w:hint="eastAsia" w:ascii="宋体" w:hAnsi="宋体" w:cs="宋体"/>
          <w:sz w:val="24"/>
        </w:rPr>
        <w:t>摄像头不可突兀明显，线路不可明敷杂乱；安装时需在周围设置警示标志；安装时发生一切安全问题由中标方自行负责。</w:t>
      </w:r>
    </w:p>
    <w:p>
      <w:pPr>
        <w:spacing w:line="360" w:lineRule="auto"/>
        <w:rPr>
          <w:rFonts w:ascii="宋体" w:hAnsi="宋体" w:cs="宋体"/>
          <w:sz w:val="24"/>
        </w:rPr>
      </w:pPr>
      <w:r>
        <w:rPr>
          <w:rFonts w:hint="eastAsia" w:ascii="宋体" w:hAnsi="宋体" w:cs="宋体"/>
          <w:sz w:val="24"/>
        </w:rPr>
        <w:t>(2)本项目摄像</w:t>
      </w:r>
      <w:r>
        <w:rPr>
          <w:rFonts w:ascii="宋体" w:hAnsi="宋体" w:cs="宋体"/>
          <w:sz w:val="24"/>
        </w:rPr>
        <w:t>头</w:t>
      </w:r>
      <w:r>
        <w:rPr>
          <w:rFonts w:hint="eastAsia" w:ascii="宋体" w:hAnsi="宋体" w:cs="宋体"/>
          <w:sz w:val="24"/>
        </w:rPr>
        <w:t>采集数据</w:t>
      </w:r>
      <w:r>
        <w:rPr>
          <w:rFonts w:ascii="宋体" w:hAnsi="宋体" w:cs="宋体"/>
          <w:sz w:val="24"/>
        </w:rPr>
        <w:t>要求</w:t>
      </w:r>
      <w:r>
        <w:rPr>
          <w:rFonts w:hint="eastAsia" w:ascii="宋体" w:hAnsi="宋体" w:cs="宋体"/>
          <w:sz w:val="24"/>
        </w:rPr>
        <w:t>：</w:t>
      </w:r>
      <w:r>
        <w:rPr>
          <w:rFonts w:ascii="宋体" w:hAnsi="宋体" w:cs="宋体"/>
          <w:sz w:val="24"/>
        </w:rPr>
        <w:t>能接入</w:t>
      </w:r>
      <w:r>
        <w:rPr>
          <w:rFonts w:hint="eastAsia" w:ascii="宋体" w:hAnsi="宋体" w:cs="宋体"/>
          <w:sz w:val="24"/>
        </w:rPr>
        <w:t>现有连江校区视频监控系统平台统一管理、集中存储。可实时观看室内监控内容并调取录像，存储时间不少于1个月。</w:t>
      </w:r>
    </w:p>
    <w:p>
      <w:pPr>
        <w:spacing w:line="360" w:lineRule="auto"/>
        <w:rPr>
          <w:rFonts w:ascii="宋体" w:hAnsi="宋体" w:cs="宋体"/>
          <w:sz w:val="24"/>
        </w:rPr>
      </w:pPr>
      <w:r>
        <w:rPr>
          <w:rFonts w:hint="eastAsia" w:ascii="宋体" w:hAnsi="宋体" w:cs="宋体"/>
          <w:sz w:val="24"/>
        </w:rPr>
        <w:t>(3) 监控摄像设备备符合国家法律法规和现行强制性标准的要求，经法定机构检验或认证合格。</w:t>
      </w:r>
    </w:p>
    <w:p>
      <w:pPr>
        <w:spacing w:line="360" w:lineRule="auto"/>
        <w:rPr>
          <w:rFonts w:ascii="宋体" w:hAnsi="宋体" w:cs="宋体"/>
          <w:sz w:val="24"/>
        </w:rPr>
      </w:pPr>
      <w:r>
        <w:rPr>
          <w:rFonts w:hint="eastAsia" w:ascii="宋体" w:hAnsi="宋体" w:cs="宋体"/>
          <w:sz w:val="24"/>
        </w:rPr>
        <w:t>(4) 监控系统图像信息和声音信息应具有原始完整性，图像信息应包含图像编号/地址、记录时的时间和日期，系统设备应具有断电或关机信息保持功能。</w:t>
      </w:r>
    </w:p>
    <w:p>
      <w:pPr>
        <w:spacing w:line="360" w:lineRule="auto"/>
        <w:rPr>
          <w:rFonts w:ascii="宋体" w:hAnsi="宋体" w:cs="宋体"/>
          <w:sz w:val="24"/>
        </w:rPr>
      </w:pPr>
      <w:r>
        <w:rPr>
          <w:rFonts w:hint="eastAsia" w:ascii="宋体" w:hAnsi="宋体" w:cs="宋体"/>
          <w:sz w:val="24"/>
        </w:rPr>
        <w:t>(5)</w:t>
      </w:r>
      <w:r>
        <w:rPr>
          <w:rFonts w:ascii="宋体" w:hAnsi="宋体" w:cs="宋体"/>
          <w:sz w:val="24"/>
        </w:rPr>
        <w:t xml:space="preserve"> </w:t>
      </w:r>
      <w:r>
        <w:rPr>
          <w:rFonts w:hint="eastAsia" w:ascii="宋体" w:hAnsi="宋体" w:cs="宋体"/>
          <w:sz w:val="24"/>
        </w:rPr>
        <w:t>监控(分)中心的显示设备的分辨率必须不低于系统对采集规定的分辨率。</w:t>
      </w:r>
    </w:p>
    <w:p>
      <w:pPr>
        <w:spacing w:line="360" w:lineRule="auto"/>
        <w:rPr>
          <w:rFonts w:ascii="宋体" w:hAnsi="宋体" w:cs="宋体"/>
          <w:sz w:val="24"/>
        </w:rPr>
      </w:pPr>
      <w:r>
        <w:rPr>
          <w:rFonts w:hint="eastAsia" w:ascii="宋体" w:hAnsi="宋体" w:cs="宋体"/>
          <w:sz w:val="24"/>
        </w:rPr>
        <w:t>(6) 摄像镜头应避免强光直射，镜头视场内不得有遮挡监视目标的物体。</w:t>
      </w:r>
    </w:p>
    <w:p>
      <w:pPr>
        <w:spacing w:line="360" w:lineRule="auto"/>
        <w:rPr>
          <w:rFonts w:ascii="宋体" w:hAnsi="宋体" w:cs="宋体"/>
          <w:sz w:val="24"/>
        </w:rPr>
      </w:pPr>
      <w:r>
        <w:rPr>
          <w:rFonts w:hint="eastAsia" w:ascii="宋体" w:hAnsi="宋体" w:cs="宋体"/>
          <w:sz w:val="24"/>
        </w:rPr>
        <w:t>6、技术参数及要求：详见附件1（招标公告网页左下方附件链接下载）。</w:t>
      </w:r>
    </w:p>
    <w:p>
      <w:pPr>
        <w:spacing w:line="360" w:lineRule="auto"/>
        <w:rPr>
          <w:rFonts w:ascii="宋体" w:hAnsi="宋体" w:cs="宋体"/>
          <w:sz w:val="24"/>
        </w:rPr>
      </w:pPr>
      <w:r>
        <w:rPr>
          <w:rFonts w:hint="eastAsia" w:ascii="宋体" w:hAnsi="宋体" w:cs="宋体"/>
          <w:sz w:val="24"/>
        </w:rPr>
        <w:t>7、设计参考标准：</w:t>
      </w:r>
    </w:p>
    <w:p>
      <w:pPr>
        <w:spacing w:line="360" w:lineRule="auto"/>
        <w:rPr>
          <w:rFonts w:ascii="宋体" w:hAnsi="宋体" w:cs="宋体"/>
          <w:sz w:val="24"/>
        </w:rPr>
      </w:pPr>
      <w:r>
        <w:rPr>
          <w:rFonts w:hint="eastAsia" w:ascii="宋体" w:hAnsi="宋体" w:cs="宋体"/>
          <w:sz w:val="24"/>
        </w:rPr>
        <w:t>《智能建筑设置标准》              GB/T50314-2015</w:t>
      </w:r>
    </w:p>
    <w:p>
      <w:pPr>
        <w:spacing w:line="360" w:lineRule="auto"/>
        <w:rPr>
          <w:rFonts w:ascii="宋体" w:hAnsi="宋体" w:cs="宋体"/>
          <w:sz w:val="24"/>
        </w:rPr>
      </w:pPr>
      <w:r>
        <w:rPr>
          <w:rFonts w:hint="eastAsia" w:ascii="宋体" w:hAnsi="宋体" w:cs="宋体"/>
          <w:sz w:val="24"/>
        </w:rPr>
        <w:t>《综合布线系统工程设置规范》        GB50311-2015</w:t>
      </w:r>
    </w:p>
    <w:p>
      <w:pPr>
        <w:spacing w:line="360" w:lineRule="auto"/>
        <w:rPr>
          <w:rFonts w:ascii="宋体" w:hAnsi="宋体" w:cs="宋体"/>
          <w:sz w:val="24"/>
        </w:rPr>
      </w:pPr>
      <w:r>
        <w:rPr>
          <w:rFonts w:hint="eastAsia" w:ascii="宋体" w:hAnsi="宋体" w:cs="宋体"/>
          <w:sz w:val="24"/>
        </w:rPr>
        <w:t>《安全防范工程技术规范》            GB50348-2014</w:t>
      </w:r>
    </w:p>
    <w:p>
      <w:pPr>
        <w:spacing w:line="360" w:lineRule="auto"/>
        <w:rPr>
          <w:rFonts w:ascii="宋体" w:hAnsi="宋体" w:cs="宋体"/>
          <w:sz w:val="24"/>
        </w:rPr>
      </w:pPr>
      <w:r>
        <w:rPr>
          <w:rFonts w:hint="eastAsia" w:ascii="宋体" w:hAnsi="宋体" w:cs="宋体"/>
          <w:sz w:val="24"/>
        </w:rPr>
        <w:t>《视频安防监控系统工程设置规范》    GB50395-2014</w:t>
      </w:r>
    </w:p>
    <w:p>
      <w:pPr>
        <w:spacing w:line="360" w:lineRule="auto"/>
        <w:rPr>
          <w:rFonts w:ascii="宋体" w:hAnsi="宋体" w:cs="宋体"/>
          <w:sz w:val="24"/>
        </w:rPr>
      </w:pPr>
      <w:r>
        <w:rPr>
          <w:rFonts w:hint="eastAsia" w:ascii="宋体" w:hAnsi="宋体" w:cs="宋体"/>
          <w:sz w:val="24"/>
        </w:rPr>
        <w:t>《建筑物电子信息系统防雷技术规范》  GB50343-2012</w:t>
      </w:r>
    </w:p>
    <w:p>
      <w:pPr>
        <w:spacing w:line="360" w:lineRule="auto"/>
        <w:rPr>
          <w:rFonts w:ascii="宋体" w:hAnsi="宋体" w:cs="宋体"/>
          <w:sz w:val="24"/>
        </w:rPr>
      </w:pPr>
      <w:r>
        <w:rPr>
          <w:rFonts w:hint="eastAsia" w:ascii="宋体" w:hAnsi="宋体" w:cs="宋体"/>
          <w:sz w:val="24"/>
        </w:rPr>
        <w:t>《民用建筑电气设置规范》              JGJ16-2015</w:t>
      </w:r>
    </w:p>
    <w:p>
      <w:pPr>
        <w:spacing w:line="360" w:lineRule="auto"/>
        <w:rPr>
          <w:rFonts w:ascii="宋体" w:hAnsi="宋体" w:cs="宋体"/>
          <w:sz w:val="24"/>
        </w:rPr>
      </w:pPr>
      <w:r>
        <w:rPr>
          <w:rFonts w:hint="eastAsia" w:ascii="宋体" w:hAnsi="宋体" w:cs="宋体"/>
          <w:sz w:val="24"/>
        </w:rPr>
        <w:t>8、质量要求和技术标准：所提供的货物必须是原厂生产的、全新的、未使用过的（包括零部件），并符合原厂质量检测标准（以说明书为准）和国家质量检测标准，且满足校方招标质量规格和性能要求。</w:t>
      </w:r>
    </w:p>
    <w:p>
      <w:pPr>
        <w:spacing w:line="360" w:lineRule="auto"/>
        <w:rPr>
          <w:rFonts w:ascii="宋体" w:hAnsi="宋体" w:cs="宋体"/>
          <w:sz w:val="24"/>
        </w:rPr>
      </w:pPr>
      <w:r>
        <w:rPr>
          <w:rFonts w:hint="eastAsia" w:ascii="宋体" w:hAnsi="宋体" w:cs="宋体"/>
          <w:sz w:val="24"/>
        </w:rPr>
        <w:t>9、交货时间：签订合同后7日内，验收合格交付正常使用；</w:t>
      </w:r>
    </w:p>
    <w:p>
      <w:pPr>
        <w:spacing w:line="360" w:lineRule="auto"/>
        <w:rPr>
          <w:rFonts w:ascii="宋体" w:hAnsi="宋体" w:cs="宋体"/>
          <w:sz w:val="24"/>
        </w:rPr>
      </w:pPr>
      <w:r>
        <w:rPr>
          <w:rFonts w:hint="eastAsia" w:ascii="宋体" w:hAnsi="宋体" w:cs="宋体"/>
          <w:sz w:val="24"/>
        </w:rPr>
        <w:t>10、交货地点：福建商学院连江校区图书馆；</w:t>
      </w:r>
    </w:p>
    <w:p>
      <w:pPr>
        <w:spacing w:line="360" w:lineRule="auto"/>
        <w:rPr>
          <w:rFonts w:ascii="宋体" w:hAnsi="宋体" w:cs="宋体"/>
          <w:sz w:val="24"/>
        </w:rPr>
      </w:pPr>
      <w:r>
        <w:rPr>
          <w:rFonts w:hint="eastAsia" w:ascii="宋体" w:hAnsi="宋体" w:cs="宋体"/>
          <w:sz w:val="24"/>
        </w:rPr>
        <w:t>11、售后服务承诺基本要求</w:t>
      </w:r>
    </w:p>
    <w:p>
      <w:pPr>
        <w:spacing w:line="360" w:lineRule="auto"/>
        <w:rPr>
          <w:rFonts w:ascii="宋体" w:hAnsi="宋体" w:cs="宋体"/>
          <w:sz w:val="24"/>
        </w:rPr>
      </w:pPr>
      <w:r>
        <w:rPr>
          <w:rFonts w:hint="eastAsia" w:ascii="宋体" w:hAnsi="宋体" w:cs="宋体"/>
          <w:sz w:val="24"/>
        </w:rPr>
        <w:t>（1）安装和调试</w:t>
      </w:r>
    </w:p>
    <w:p>
      <w:pPr>
        <w:spacing w:line="360" w:lineRule="auto"/>
        <w:ind w:firstLine="480" w:firstLineChars="200"/>
        <w:rPr>
          <w:rFonts w:ascii="宋体" w:hAnsi="宋体" w:cs="宋体"/>
          <w:sz w:val="24"/>
        </w:rPr>
      </w:pPr>
      <w:r>
        <w:rPr>
          <w:rFonts w:hint="eastAsia" w:ascii="宋体" w:hAnsi="宋体" w:cs="宋体"/>
          <w:sz w:val="24"/>
        </w:rPr>
        <w:t>由中标人负责将货物按签订合同的具体数量、具体地点及位置免费运送到最终目的地，并负责安装。货物安装调试并经最终验收合格后，交付采购人使用，中标人须在报价中详细列明所需要各项费用，若未列明，视同所有费用均含在投标报价中。货物安装、调试所需要的工具、仪表及安装材料等均由中标人负责提供。中标人负责组织专业技术人员进行货物安装，保证各项安装工作顺利进行。</w:t>
      </w:r>
    </w:p>
    <w:p>
      <w:pPr>
        <w:spacing w:line="360" w:lineRule="auto"/>
        <w:rPr>
          <w:rFonts w:ascii="宋体" w:hAnsi="宋体" w:cs="宋体"/>
          <w:sz w:val="24"/>
        </w:rPr>
      </w:pPr>
      <w:r>
        <w:rPr>
          <w:rFonts w:hint="eastAsia" w:ascii="宋体" w:hAnsi="宋体" w:cs="宋体"/>
          <w:sz w:val="24"/>
        </w:rPr>
        <w:t>（2）技术培训：中标人免费为采购人技术人员进行有关货物安装、调试、维护、操作、保养等方面的现场培训，并列好计划（对货物的使用操作、货物维护、故障排除、日常保养等方面操作）以备采购人使用，直至能熟练独立操作，对货物产生的常见问题，能够进行判断。</w:t>
      </w:r>
    </w:p>
    <w:p>
      <w:pPr>
        <w:spacing w:line="360" w:lineRule="auto"/>
        <w:rPr>
          <w:rFonts w:ascii="宋体" w:hAnsi="宋体" w:cs="宋体"/>
          <w:sz w:val="24"/>
        </w:rPr>
      </w:pPr>
      <w:r>
        <w:rPr>
          <w:rFonts w:hint="eastAsia" w:ascii="宋体" w:hAnsi="宋体" w:cs="宋体"/>
          <w:sz w:val="24"/>
        </w:rPr>
        <w:t>（3）售后服务承诺</w:t>
      </w:r>
    </w:p>
    <w:p>
      <w:pPr>
        <w:spacing w:line="360" w:lineRule="auto"/>
        <w:ind w:firstLine="480" w:firstLineChars="200"/>
        <w:rPr>
          <w:rFonts w:ascii="宋体" w:hAnsi="宋体" w:cs="宋体"/>
          <w:sz w:val="24"/>
        </w:rPr>
      </w:pPr>
      <w:r>
        <w:rPr>
          <w:rFonts w:hint="eastAsia" w:ascii="宋体" w:hAnsi="宋体" w:cs="宋体"/>
          <w:sz w:val="24"/>
        </w:rPr>
        <w:t>保证所提供的货物是全新的、未使用过的原装品牌设备，在各个方面符合规定的质量、规格和性能要求。保证货物经过正确安装、合理操作和维护保养，在货物寿命期内运转良好。</w:t>
      </w:r>
    </w:p>
    <w:p>
      <w:pPr>
        <w:spacing w:line="360" w:lineRule="auto"/>
        <w:ind w:firstLine="480" w:firstLineChars="200"/>
        <w:rPr>
          <w:rFonts w:ascii="宋体" w:hAnsi="宋体" w:cs="宋体"/>
          <w:sz w:val="24"/>
        </w:rPr>
      </w:pPr>
      <w:r>
        <w:rPr>
          <w:rFonts w:hint="eastAsia" w:ascii="宋体" w:hAnsi="宋体" w:cs="宋体"/>
          <w:sz w:val="24"/>
        </w:rPr>
        <w:t>货物安装调试验收合格交付正常使用之日起5年；供应商提供设备</w:t>
      </w:r>
      <w:r>
        <w:rPr>
          <w:rFonts w:ascii="宋体" w:hAnsi="宋体" w:cs="宋体"/>
          <w:sz w:val="24"/>
        </w:rPr>
        <w:t>5</w:t>
      </w:r>
      <w:r>
        <w:rPr>
          <w:rFonts w:hint="eastAsia" w:ascii="宋体" w:hAnsi="宋体" w:cs="宋体"/>
          <w:sz w:val="24"/>
        </w:rPr>
        <w:t>年免费上门维修，长期维护。</w:t>
      </w:r>
    </w:p>
    <w:p>
      <w:pPr>
        <w:spacing w:line="360" w:lineRule="auto"/>
        <w:ind w:firstLine="480" w:firstLineChars="200"/>
        <w:rPr>
          <w:rFonts w:ascii="宋体" w:hAnsi="宋体" w:cs="宋体"/>
          <w:sz w:val="24"/>
        </w:rPr>
      </w:pPr>
      <w:r>
        <w:rPr>
          <w:rFonts w:hint="eastAsia" w:ascii="宋体" w:hAnsi="宋体" w:cs="宋体"/>
          <w:sz w:val="24"/>
        </w:rPr>
        <w:t>维修服务的响应时间：所有设备提供</w:t>
      </w:r>
      <w:r>
        <w:rPr>
          <w:rFonts w:ascii="宋体" w:hAnsi="宋体" w:cs="宋体"/>
          <w:sz w:val="24"/>
        </w:rPr>
        <w:t>5</w:t>
      </w:r>
      <w:r>
        <w:rPr>
          <w:rFonts w:hint="eastAsia" w:ascii="宋体" w:hAnsi="宋体" w:cs="宋体"/>
          <w:sz w:val="24"/>
        </w:rPr>
        <w:t>年免费上门维修，保修期内如有故障，接到电话后6小时内响应，48小时内维修到位。质保期后，供应商提供设备优惠维修服务。</w:t>
      </w:r>
    </w:p>
    <w:p>
      <w:pPr>
        <w:spacing w:line="360" w:lineRule="auto"/>
        <w:ind w:firstLine="480" w:firstLineChars="200"/>
        <w:rPr>
          <w:rFonts w:ascii="宋体" w:hAnsi="宋体" w:cs="宋体"/>
          <w:sz w:val="24"/>
        </w:rPr>
      </w:pPr>
      <w:r>
        <w:rPr>
          <w:rFonts w:hint="eastAsia" w:ascii="宋体" w:hAnsi="宋体" w:cs="宋体"/>
          <w:sz w:val="24"/>
        </w:rPr>
        <w:t>质量保修期后的服务要求：质量保修期结束后，中标人仍应对货物提供终身维修服务，并应继续提供优惠优质服务。中标人有对货物在必要时进行定期维护和修理，更换配件时只能收取成本费。</w:t>
      </w:r>
    </w:p>
    <w:p>
      <w:pPr>
        <w:pStyle w:val="2"/>
        <w:spacing w:line="360" w:lineRule="auto"/>
        <w:rPr>
          <w:rFonts w:ascii="宋体" w:hAnsi="宋体" w:cs="宋体"/>
          <w:sz w:val="24"/>
        </w:rPr>
      </w:pPr>
      <w:r>
        <w:rPr>
          <w:rFonts w:hint="eastAsia" w:ascii="宋体" w:hAnsi="宋体" w:cs="宋体"/>
          <w:sz w:val="24"/>
        </w:rPr>
        <w:t>12、付款方式：</w:t>
      </w:r>
      <w:r>
        <w:rPr>
          <w:rFonts w:hint="eastAsia" w:ascii="宋体" w:hAnsi="宋体" w:cs="宋体"/>
          <w:color w:val="000000" w:themeColor="text1"/>
          <w:sz w:val="24"/>
          <w14:textFill>
            <w14:solidFill>
              <w14:schemeClr w14:val="tx1"/>
            </w14:solidFill>
          </w14:textFill>
        </w:rPr>
        <w:t>合同签订前，中标人必须按中标金额的</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 缴纳齐履约保证金，双方签订合同后，中标人按照招标文件要求供货安装、调试完毕，经采购人验收合格后，持有正式发票和用户所开具的验收合格证明，采购人向中标人支付100%合同款。中标人缴纳的履约保证金自动转为合同质保金。合同质保期满后，无质量问题，合同质保金无息全额返还。</w:t>
      </w:r>
    </w:p>
    <w:p>
      <w:pPr>
        <w:spacing w:line="360" w:lineRule="auto"/>
        <w:rPr>
          <w:rFonts w:ascii="宋体" w:hAnsi="宋体" w:cs="宋体"/>
          <w:sz w:val="24"/>
        </w:rPr>
      </w:pPr>
      <w:r>
        <w:rPr>
          <w:rFonts w:hint="eastAsia" w:ascii="宋体" w:hAnsi="宋体" w:cs="宋体"/>
          <w:sz w:val="24"/>
        </w:rPr>
        <w:t>13、验收</w:t>
      </w:r>
    </w:p>
    <w:p>
      <w:pPr>
        <w:spacing w:line="360" w:lineRule="auto"/>
        <w:rPr>
          <w:rFonts w:ascii="宋体" w:hAnsi="宋体" w:cs="宋体"/>
          <w:sz w:val="24"/>
        </w:rPr>
      </w:pPr>
      <w:r>
        <w:rPr>
          <w:rFonts w:hint="eastAsia" w:ascii="宋体" w:hAnsi="宋体" w:cs="宋体"/>
          <w:sz w:val="24"/>
        </w:rPr>
        <w:t>（1）提供完整的技术资料，包括：明细表(装箱单)、出厂检验报告和合格证书、使用说明书、设备安装调试资料、操作手册、维修手册及合同中要求的其他文件资料。</w:t>
      </w:r>
    </w:p>
    <w:p>
      <w:pPr>
        <w:spacing w:line="360" w:lineRule="auto"/>
        <w:rPr>
          <w:rFonts w:ascii="宋体" w:hAnsi="宋体" w:cs="宋体"/>
          <w:sz w:val="24"/>
        </w:rPr>
      </w:pPr>
      <w:r>
        <w:rPr>
          <w:rFonts w:hint="eastAsia" w:ascii="宋体" w:hAnsi="宋体" w:cs="宋体"/>
          <w:sz w:val="24"/>
        </w:rPr>
        <w:t>（2）货物根据招标文件及合同中所列清单与技术参数要求进行验收，直接安装至学校指定地点。项目交付正常使用后，由中标单位书面提出验收申请，经使用单位组织验收人员进行验收。验收结果经双方确认后，双方授权代表人必须按规定的验收交接单上的项目对照本合同填好验收结果并签名盖章。</w:t>
      </w:r>
    </w:p>
    <w:p>
      <w:pPr>
        <w:widowControl/>
        <w:shd w:val="clear" w:color="auto" w:fill="FFFFFF"/>
        <w:snapToGrid w:val="0"/>
        <w:spacing w:line="360" w:lineRule="auto"/>
        <w:ind w:firstLine="482" w:firstLineChars="200"/>
        <w:jc w:val="left"/>
        <w:textAlignment w:val="baseline"/>
        <w:rPr>
          <w:rFonts w:ascii="宋体" w:hAnsi="宋体" w:cs="宋体"/>
          <w:sz w:val="24"/>
        </w:rPr>
      </w:pPr>
      <w:r>
        <w:rPr>
          <w:rFonts w:hint="eastAsia" w:ascii="宋体" w:hAnsi="宋体" w:cs="宋体"/>
          <w:b/>
          <w:bCs/>
          <w:sz w:val="24"/>
        </w:rPr>
        <w:t>请各报价单位按以上询价公告所有条款要求内容及附件清单内容逐条响应提交承诺函、报价表（按总价报价）、营业执照、资格证书等相关证明材料复印件，并加盖公章（报价文件参考格式详见招标公告下方附件</w:t>
      </w:r>
      <w:r>
        <w:rPr>
          <w:rFonts w:hint="eastAsia" w:ascii="宋体" w:hAnsi="宋体" w:cs="宋体"/>
          <w:b/>
          <w:bCs/>
          <w:sz w:val="24"/>
          <w:lang w:val="en-US" w:eastAsia="zh-CN"/>
        </w:rPr>
        <w:t>2</w:t>
      </w:r>
      <w:r>
        <w:rPr>
          <w:rFonts w:hint="eastAsia" w:ascii="宋体" w:hAnsi="宋体" w:cs="宋体"/>
          <w:b/>
          <w:bCs/>
          <w:sz w:val="24"/>
        </w:rPr>
        <w:t>下载）。于</w:t>
      </w:r>
      <w:r>
        <w:rPr>
          <w:rFonts w:hint="eastAsia" w:ascii="宋体" w:hAnsi="宋体" w:cs="宋体"/>
          <w:b/>
          <w:bCs/>
          <w:sz w:val="24"/>
          <w:highlight w:val="yellow"/>
        </w:rPr>
        <w:t>2021年</w:t>
      </w:r>
      <w:r>
        <w:rPr>
          <w:rFonts w:hint="eastAsia" w:ascii="宋体" w:hAnsi="宋体" w:cs="宋体"/>
          <w:b/>
          <w:bCs/>
          <w:sz w:val="24"/>
          <w:highlight w:val="yellow"/>
          <w:lang w:val="en-US" w:eastAsia="zh-CN"/>
        </w:rPr>
        <w:t>11</w:t>
      </w:r>
      <w:r>
        <w:rPr>
          <w:rFonts w:hint="eastAsia" w:ascii="宋体" w:hAnsi="宋体" w:cs="宋体"/>
          <w:b/>
          <w:bCs/>
          <w:sz w:val="24"/>
          <w:highlight w:val="yellow"/>
        </w:rPr>
        <w:t>月</w:t>
      </w:r>
      <w:r>
        <w:rPr>
          <w:rFonts w:hint="eastAsia" w:ascii="宋体" w:hAnsi="宋体" w:cs="宋体"/>
          <w:b/>
          <w:bCs/>
          <w:sz w:val="24"/>
          <w:highlight w:val="yellow"/>
          <w:lang w:val="en-US" w:eastAsia="zh-CN"/>
        </w:rPr>
        <w:t>15</w:t>
      </w:r>
      <w:r>
        <w:rPr>
          <w:rFonts w:hint="eastAsia" w:ascii="宋体" w:hAnsi="宋体" w:cs="宋体"/>
          <w:b/>
          <w:bCs/>
          <w:sz w:val="24"/>
          <w:highlight w:val="yellow"/>
        </w:rPr>
        <w:t>日下午16：00</w:t>
      </w:r>
      <w:r>
        <w:rPr>
          <w:rFonts w:hint="eastAsia" w:ascii="宋体" w:hAnsi="宋体" w:cs="宋体"/>
          <w:b/>
          <w:bCs/>
          <w:sz w:val="24"/>
        </w:rPr>
        <w:t>前准时将项目报价文件及资格证明材料密封后以顺丰快递的方式快递送达至福州市连江县潘渡乡连潘路2号福建商学院连江校区320室，联系人：陈老师，电话：18649812225。</w:t>
      </w:r>
    </w:p>
    <w:p>
      <w:pPr>
        <w:spacing w:line="360" w:lineRule="auto"/>
        <w:rPr>
          <w:rFonts w:ascii="宋体" w:hAnsi="宋体" w:cs="宋体"/>
          <w:sz w:val="24"/>
        </w:rPr>
      </w:pPr>
    </w:p>
    <w:p>
      <w:pPr>
        <w:spacing w:line="360" w:lineRule="auto"/>
        <w:ind w:left="6720" w:hanging="6720" w:hangingChars="2800"/>
        <w:rPr>
          <w:rFonts w:ascii="宋体" w:hAnsi="宋体" w:cs="宋体"/>
          <w:sz w:val="24"/>
        </w:rPr>
      </w:pPr>
      <w:r>
        <w:rPr>
          <w:rFonts w:hint="eastAsia" w:ascii="宋体" w:hAnsi="宋体" w:cs="宋体"/>
          <w:sz w:val="24"/>
        </w:rPr>
        <w:t xml:space="preserve">                                                        福建商学院</w:t>
      </w:r>
    </w:p>
    <w:p>
      <w:pPr>
        <w:spacing w:line="360" w:lineRule="auto"/>
        <w:ind w:left="6704" w:leftChars="2964" w:hanging="480" w:hangingChars="200"/>
        <w:rPr>
          <w:rFonts w:ascii="宋体" w:hAnsi="宋体" w:cs="宋体"/>
          <w:sz w:val="24"/>
        </w:rPr>
      </w:pPr>
      <w:r>
        <w:rPr>
          <w:rFonts w:hint="eastAsia" w:ascii="宋体" w:hAnsi="宋体" w:cs="宋体"/>
          <w:sz w:val="24"/>
        </w:rPr>
        <w:t>2021年</w:t>
      </w:r>
      <w:r>
        <w:rPr>
          <w:rFonts w:hint="eastAsia" w:ascii="宋体" w:hAnsi="宋体" w:cs="宋体"/>
          <w:sz w:val="24"/>
          <w:lang w:val="en-US" w:eastAsia="zh-CN"/>
        </w:rPr>
        <w:t>11</w:t>
      </w:r>
      <w:r>
        <w:rPr>
          <w:rFonts w:hint="eastAsia" w:ascii="宋体" w:hAnsi="宋体" w:cs="宋体"/>
          <w:sz w:val="24"/>
        </w:rPr>
        <w:t>月</w:t>
      </w:r>
      <w:r>
        <w:rPr>
          <w:rFonts w:hint="eastAsia" w:ascii="宋体" w:hAnsi="宋体" w:cs="宋体"/>
          <w:sz w:val="24"/>
          <w:lang w:val="en-US" w:eastAsia="zh-CN"/>
        </w:rPr>
        <w:t>9</w:t>
      </w:r>
      <w:r>
        <w:rPr>
          <w:rFonts w:hint="eastAsia" w:ascii="宋体" w:hAnsi="宋体" w:cs="宋体"/>
          <w:sz w:val="24"/>
        </w:rPr>
        <w:t>日</w:t>
      </w:r>
    </w:p>
    <w:p>
      <w:pPr>
        <w:spacing w:line="360" w:lineRule="auto"/>
        <w:ind w:left="6704" w:leftChars="2964" w:hanging="480" w:hangingChars="200"/>
        <w:rPr>
          <w:rFonts w:ascii="宋体" w:hAnsi="宋体" w:cs="宋体"/>
          <w:sz w:val="24"/>
        </w:rPr>
      </w:pPr>
    </w:p>
    <w:p>
      <w:pPr>
        <w:spacing w:line="360" w:lineRule="auto"/>
        <w:rPr>
          <w:rFonts w:ascii="宋体" w:hAnsi="宋体" w:cs="宋体"/>
          <w:sz w:val="24"/>
        </w:rPr>
      </w:pPr>
      <w:r>
        <w:rPr>
          <w:rFonts w:hint="eastAsia" w:ascii="宋体" w:hAnsi="宋体" w:cs="宋体"/>
          <w:sz w:val="24"/>
        </w:rPr>
        <w:t>附件1：技术参数及要求：</w:t>
      </w:r>
    </w:p>
    <w:tbl>
      <w:tblPr>
        <w:tblStyle w:val="7"/>
        <w:tblW w:w="87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2105"/>
        <w:gridCol w:w="750"/>
        <w:gridCol w:w="833"/>
        <w:gridCol w:w="4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006" w:type="dxa"/>
          </w:tcPr>
          <w:p>
            <w:pPr>
              <w:rPr>
                <w:rFonts w:ascii="仿宋" w:hAnsi="仿宋" w:eastAsia="仿宋" w:cs="仿宋"/>
                <w:sz w:val="24"/>
              </w:rPr>
            </w:pPr>
            <w:r>
              <w:rPr>
                <w:rFonts w:hint="eastAsia" w:ascii="仿宋" w:hAnsi="仿宋" w:eastAsia="仿宋" w:cs="仿宋"/>
                <w:sz w:val="24"/>
              </w:rPr>
              <w:t>序号</w:t>
            </w:r>
          </w:p>
        </w:tc>
        <w:tc>
          <w:tcPr>
            <w:tcW w:w="2105" w:type="dxa"/>
          </w:tcPr>
          <w:p>
            <w:pPr>
              <w:rPr>
                <w:rFonts w:ascii="仿宋" w:hAnsi="仿宋" w:eastAsia="仿宋" w:cs="仿宋"/>
                <w:sz w:val="24"/>
              </w:rPr>
            </w:pPr>
            <w:r>
              <w:rPr>
                <w:rFonts w:hint="eastAsia" w:ascii="仿宋" w:hAnsi="仿宋" w:eastAsia="仿宋" w:cs="仿宋"/>
                <w:sz w:val="24"/>
              </w:rPr>
              <w:t>设备名称</w:t>
            </w:r>
          </w:p>
        </w:tc>
        <w:tc>
          <w:tcPr>
            <w:tcW w:w="750" w:type="dxa"/>
          </w:tcPr>
          <w:p>
            <w:pPr>
              <w:rPr>
                <w:rFonts w:ascii="仿宋" w:hAnsi="仿宋" w:eastAsia="仿宋" w:cs="仿宋"/>
                <w:sz w:val="24"/>
              </w:rPr>
            </w:pPr>
            <w:r>
              <w:rPr>
                <w:rFonts w:hint="eastAsia" w:ascii="仿宋" w:hAnsi="仿宋" w:eastAsia="仿宋" w:cs="仿宋"/>
                <w:sz w:val="24"/>
              </w:rPr>
              <w:t>单位</w:t>
            </w:r>
          </w:p>
        </w:tc>
        <w:tc>
          <w:tcPr>
            <w:tcW w:w="833" w:type="dxa"/>
          </w:tcPr>
          <w:p>
            <w:pPr>
              <w:rPr>
                <w:rFonts w:ascii="仿宋" w:hAnsi="仿宋" w:eastAsia="仿宋" w:cs="仿宋"/>
                <w:sz w:val="24"/>
              </w:rPr>
            </w:pPr>
            <w:r>
              <w:rPr>
                <w:rFonts w:hint="eastAsia" w:ascii="仿宋" w:hAnsi="仿宋" w:eastAsia="仿宋" w:cs="仿宋"/>
                <w:sz w:val="24"/>
              </w:rPr>
              <w:t>数量</w:t>
            </w:r>
          </w:p>
        </w:tc>
        <w:tc>
          <w:tcPr>
            <w:tcW w:w="4050" w:type="dxa"/>
          </w:tcPr>
          <w:p>
            <w:pPr>
              <w:jc w:val="center"/>
              <w:rPr>
                <w:rFonts w:ascii="仿宋" w:hAnsi="仿宋" w:eastAsia="仿宋" w:cs="仿宋"/>
                <w:sz w:val="24"/>
              </w:rPr>
            </w:pPr>
            <w:r>
              <w:rPr>
                <w:rFonts w:hint="eastAsia" w:ascii="仿宋" w:hAnsi="仿宋" w:eastAsia="仿宋" w:cs="仿宋"/>
                <w:color w:val="000000" w:themeColor="text1"/>
                <w:sz w:val="24"/>
                <w14:textFill>
                  <w14:solidFill>
                    <w14:schemeClr w14:val="tx1"/>
                  </w14:solidFill>
                </w14:textFill>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6" w:hRule="atLeast"/>
        </w:trPr>
        <w:tc>
          <w:tcPr>
            <w:tcW w:w="1006" w:type="dxa"/>
            <w:vAlign w:val="center"/>
          </w:tcPr>
          <w:p>
            <w:pPr>
              <w:jc w:val="center"/>
              <w:rPr>
                <w:rFonts w:ascii="仿宋" w:hAnsi="仿宋" w:eastAsia="仿宋" w:cs="仿宋"/>
                <w:sz w:val="24"/>
              </w:rPr>
            </w:pPr>
            <w:r>
              <w:rPr>
                <w:rFonts w:hint="eastAsia" w:ascii="仿宋" w:hAnsi="仿宋" w:eastAsia="仿宋" w:cs="仿宋"/>
                <w:sz w:val="24"/>
              </w:rPr>
              <w:t>1</w:t>
            </w:r>
          </w:p>
        </w:tc>
        <w:tc>
          <w:tcPr>
            <w:tcW w:w="2105" w:type="dxa"/>
            <w:vAlign w:val="center"/>
          </w:tcPr>
          <w:p>
            <w:pPr>
              <w:jc w:val="center"/>
              <w:rPr>
                <w:rFonts w:ascii="仿宋" w:hAnsi="仿宋" w:eastAsia="仿宋" w:cs="仿宋"/>
                <w:sz w:val="24"/>
              </w:rPr>
            </w:pPr>
            <w:r>
              <w:rPr>
                <w:rFonts w:hint="eastAsia" w:ascii="仿宋" w:hAnsi="仿宋" w:eastAsia="仿宋" w:cs="仿宋"/>
                <w:sz w:val="24"/>
              </w:rPr>
              <w:t>400万网络高清半球摄像机（含电源及铝合金支架）</w:t>
            </w:r>
          </w:p>
        </w:tc>
        <w:tc>
          <w:tcPr>
            <w:tcW w:w="750" w:type="dxa"/>
            <w:vAlign w:val="center"/>
          </w:tcPr>
          <w:p>
            <w:pPr>
              <w:jc w:val="center"/>
              <w:rPr>
                <w:rFonts w:ascii="仿宋" w:hAnsi="仿宋" w:eastAsia="仿宋" w:cs="仿宋"/>
                <w:sz w:val="24"/>
              </w:rPr>
            </w:pPr>
            <w:r>
              <w:rPr>
                <w:rFonts w:hint="eastAsia" w:ascii="仿宋" w:hAnsi="仿宋" w:eastAsia="仿宋" w:cs="仿宋"/>
                <w:sz w:val="24"/>
              </w:rPr>
              <w:t>台</w:t>
            </w:r>
          </w:p>
        </w:tc>
        <w:tc>
          <w:tcPr>
            <w:tcW w:w="833" w:type="dxa"/>
            <w:vAlign w:val="center"/>
          </w:tcPr>
          <w:p>
            <w:pPr>
              <w:jc w:val="center"/>
              <w:rPr>
                <w:rFonts w:ascii="仿宋" w:hAnsi="仿宋" w:eastAsia="仿宋" w:cs="仿宋"/>
                <w:sz w:val="24"/>
              </w:rPr>
            </w:pPr>
            <w:r>
              <w:rPr>
                <w:rFonts w:ascii="仿宋" w:hAnsi="仿宋" w:eastAsia="仿宋" w:cs="仿宋"/>
                <w:sz w:val="24"/>
              </w:rPr>
              <w:t>20</w:t>
            </w:r>
          </w:p>
        </w:tc>
        <w:tc>
          <w:tcPr>
            <w:tcW w:w="4050" w:type="dxa"/>
            <w:vAlign w:val="center"/>
          </w:tcPr>
          <w:p>
            <w:pPr>
              <w:jc w:val="left"/>
              <w:rPr>
                <w:rFonts w:hint="eastAsia" w:ascii="仿宋" w:hAnsi="仿宋" w:eastAsia="仿宋" w:cs="仿宋"/>
              </w:rPr>
            </w:pPr>
            <w:r>
              <w:rPr>
                <w:rFonts w:hint="eastAsia" w:ascii="仿宋" w:hAnsi="仿宋" w:eastAsia="仿宋" w:cs="仿宋"/>
              </w:rPr>
              <w:t>1. ≥1/3英寸400万CMOS图像传感器，支持H.265、H.264、MJPEG编码格式，产品支持镜头焦距2.8/4.0/6.0mm可选</w:t>
            </w:r>
          </w:p>
          <w:p>
            <w:pPr>
              <w:jc w:val="left"/>
              <w:rPr>
                <w:rFonts w:hint="eastAsia" w:ascii="仿宋" w:hAnsi="仿宋" w:eastAsia="仿宋" w:cs="仿宋"/>
              </w:rPr>
            </w:pPr>
            <w:r>
              <w:rPr>
                <w:rFonts w:hint="eastAsia" w:ascii="仿宋" w:hAnsi="仿宋" w:eastAsia="仿宋" w:cs="仿宋"/>
              </w:rPr>
              <w:t>2. 照度适应范围≥130dB</w:t>
            </w:r>
          </w:p>
          <w:p>
            <w:pPr>
              <w:jc w:val="left"/>
              <w:rPr>
                <w:rFonts w:hint="eastAsia" w:ascii="仿宋" w:hAnsi="仿宋" w:eastAsia="仿宋" w:cs="仿宋"/>
              </w:rPr>
            </w:pPr>
            <w:r>
              <w:rPr>
                <w:rFonts w:hint="eastAsia" w:ascii="仿宋" w:hAnsi="仿宋" w:eastAsia="仿宋" w:cs="仿宋"/>
              </w:rPr>
              <w:t>3. 最低照度：彩色：≤0.005 lx ; 黑白：≤0.0005 lx</w:t>
            </w:r>
          </w:p>
          <w:p>
            <w:pPr>
              <w:jc w:val="left"/>
              <w:rPr>
                <w:rFonts w:hint="eastAsia" w:ascii="仿宋" w:hAnsi="仿宋" w:eastAsia="仿宋" w:cs="仿宋"/>
              </w:rPr>
            </w:pPr>
            <w:r>
              <w:rPr>
                <w:rFonts w:hint="eastAsia" w:ascii="仿宋" w:hAnsi="仿宋" w:eastAsia="仿宋" w:cs="仿宋"/>
              </w:rPr>
              <w:t>4. 具有智能红外功能，红外灯开启时，可根据被摄物的距离自动调节红外光功率密度</w:t>
            </w:r>
          </w:p>
          <w:p>
            <w:pPr>
              <w:jc w:val="left"/>
              <w:rPr>
                <w:rFonts w:hint="eastAsia" w:ascii="仿宋" w:hAnsi="仿宋" w:eastAsia="仿宋" w:cs="仿宋"/>
              </w:rPr>
            </w:pPr>
            <w:r>
              <w:rPr>
                <w:rFonts w:hint="eastAsia" w:ascii="仿宋" w:hAnsi="仿宋" w:eastAsia="仿宋" w:cs="仿宋"/>
              </w:rPr>
              <w:t>5. 移动侦测功能：在设定的侦测区域内具有目标移动时，可在客户端给出报警提示，最多可设置≥18×22个移动侦测区域</w:t>
            </w:r>
          </w:p>
          <w:p>
            <w:pPr>
              <w:jc w:val="left"/>
              <w:rPr>
                <w:rFonts w:hint="eastAsia" w:ascii="仿宋" w:hAnsi="仿宋" w:eastAsia="仿宋" w:cs="仿宋"/>
              </w:rPr>
            </w:pPr>
            <w:r>
              <w:rPr>
                <w:rFonts w:hint="eastAsia" w:ascii="仿宋" w:hAnsi="仿宋" w:eastAsia="仿宋" w:cs="仿宋"/>
              </w:rPr>
              <w:t>6. 具有区域入侵、停车、越界入侵、人员聚集、进入区域、离开区域、快速移动、物品移除、物品遗留、徘徊智能行为分析功能</w:t>
            </w:r>
          </w:p>
          <w:p>
            <w:pPr>
              <w:jc w:val="left"/>
              <w:rPr>
                <w:rFonts w:hint="eastAsia" w:ascii="仿宋" w:hAnsi="仿宋" w:eastAsia="仿宋" w:cs="仿宋"/>
              </w:rPr>
            </w:pPr>
            <w:r>
              <w:rPr>
                <w:rFonts w:hint="eastAsia" w:ascii="仿宋" w:hAnsi="仿宋" w:eastAsia="仿宋" w:cs="仿宋"/>
              </w:rPr>
              <w:t>7. 具有客流统计功能，且准确率≥99%</w:t>
            </w:r>
          </w:p>
          <w:p>
            <w:pPr>
              <w:jc w:val="left"/>
              <w:rPr>
                <w:rFonts w:hint="eastAsia" w:ascii="仿宋" w:hAnsi="仿宋" w:eastAsia="仿宋" w:cs="仿宋"/>
              </w:rPr>
            </w:pPr>
            <w:r>
              <w:rPr>
                <w:rFonts w:hint="eastAsia" w:ascii="仿宋" w:hAnsi="仿宋" w:eastAsia="仿宋" w:cs="仿宋"/>
              </w:rPr>
              <w:t>8. 场景设置功能：在IE浏览器下，具有多种场景设置选项，可进行手动切换或根据时间、光照变化实现自动切换</w:t>
            </w:r>
          </w:p>
          <w:p>
            <w:pPr>
              <w:jc w:val="left"/>
              <w:rPr>
                <w:rFonts w:hint="eastAsia" w:ascii="仿宋" w:hAnsi="仿宋" w:eastAsia="仿宋" w:cs="仿宋"/>
              </w:rPr>
            </w:pPr>
            <w:r>
              <w:rPr>
                <w:rFonts w:hint="eastAsia" w:ascii="仿宋" w:hAnsi="仿宋" w:eastAsia="仿宋" w:cs="仿宋"/>
              </w:rPr>
              <w:t>9. 智能编码功能：在同一静止场景、相同图像参数，开启智能编码高级模式与普通模式相比，码率节约≥85%</w:t>
            </w:r>
          </w:p>
          <w:p>
            <w:pPr>
              <w:jc w:val="left"/>
              <w:rPr>
                <w:rFonts w:hint="eastAsia" w:ascii="仿宋" w:hAnsi="仿宋" w:eastAsia="仿宋" w:cs="仿宋"/>
              </w:rPr>
            </w:pPr>
            <w:r>
              <w:rPr>
                <w:rFonts w:hint="eastAsia" w:ascii="仿宋" w:hAnsi="仿宋" w:eastAsia="仿宋" w:cs="仿宋"/>
              </w:rPr>
              <w:t>10. 支持双路iSCSI直存方式存储</w:t>
            </w:r>
          </w:p>
          <w:p>
            <w:pPr>
              <w:jc w:val="left"/>
              <w:rPr>
                <w:rFonts w:hint="eastAsia" w:ascii="仿宋" w:hAnsi="仿宋" w:eastAsia="仿宋" w:cs="仿宋"/>
              </w:rPr>
            </w:pPr>
            <w:r>
              <w:rPr>
                <w:rFonts w:hint="eastAsia" w:ascii="仿宋" w:hAnsi="仿宋" w:eastAsia="仿宋" w:cs="仿宋"/>
              </w:rPr>
              <w:t>11. 网络适应能力：丢包率为≤25%，网络延时≤50ms环境下，可正常显示监控画面</w:t>
            </w:r>
          </w:p>
          <w:p>
            <w:pPr>
              <w:jc w:val="left"/>
              <w:rPr>
                <w:rFonts w:hint="eastAsia" w:ascii="仿宋" w:hAnsi="仿宋" w:eastAsia="仿宋" w:cs="仿宋"/>
              </w:rPr>
            </w:pPr>
            <w:r>
              <w:rPr>
                <w:rFonts w:hint="eastAsia" w:ascii="仿宋" w:hAnsi="仿宋" w:eastAsia="仿宋" w:cs="仿宋"/>
              </w:rPr>
              <w:t>12. 环境适应性检验：-35℃~60℃（±5%）</w:t>
            </w:r>
          </w:p>
          <w:p>
            <w:pPr>
              <w:jc w:val="left"/>
              <w:rPr>
                <w:rFonts w:hint="eastAsia" w:ascii="仿宋" w:hAnsi="仿宋" w:eastAsia="仿宋" w:cs="仿宋"/>
              </w:rPr>
            </w:pPr>
            <w:r>
              <w:rPr>
                <w:rFonts w:hint="eastAsia" w:ascii="仿宋" w:hAnsi="仿宋" w:eastAsia="仿宋" w:cs="仿宋"/>
              </w:rPr>
              <w:t>13. 外壳防护等级：≥IP66</w:t>
            </w:r>
          </w:p>
          <w:p>
            <w:pPr>
              <w:jc w:val="left"/>
              <w:rPr>
                <w:rFonts w:ascii="仿宋" w:hAnsi="仿宋" w:eastAsia="仿宋" w:cs="仿宋"/>
              </w:rPr>
            </w:pPr>
            <w:r>
              <w:rPr>
                <w:rFonts w:hint="eastAsia" w:ascii="仿宋" w:hAnsi="仿宋" w:eastAsia="仿宋" w:cs="仿宋"/>
              </w:rPr>
              <w:t>14. 含铝合金支架、铝合金底座、塑料电源外壳。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006" w:type="dxa"/>
            <w:vAlign w:val="center"/>
          </w:tcPr>
          <w:p>
            <w:pPr>
              <w:jc w:val="center"/>
              <w:rPr>
                <w:rFonts w:ascii="仿宋" w:hAnsi="仿宋" w:eastAsia="仿宋" w:cs="仿宋"/>
                <w:sz w:val="24"/>
              </w:rPr>
            </w:pPr>
            <w:r>
              <w:rPr>
                <w:rFonts w:hint="eastAsia" w:ascii="仿宋" w:hAnsi="仿宋" w:eastAsia="仿宋" w:cs="仿宋"/>
                <w:sz w:val="24"/>
              </w:rPr>
              <w:t>2</w:t>
            </w:r>
          </w:p>
        </w:tc>
        <w:tc>
          <w:tcPr>
            <w:tcW w:w="2105" w:type="dxa"/>
            <w:vAlign w:val="center"/>
          </w:tcPr>
          <w:p>
            <w:pPr>
              <w:jc w:val="center"/>
              <w:rPr>
                <w:rFonts w:ascii="仿宋" w:hAnsi="仿宋" w:eastAsia="仿宋" w:cs="仿宋"/>
                <w:sz w:val="24"/>
              </w:rPr>
            </w:pPr>
            <w:r>
              <w:rPr>
                <w:rFonts w:hint="eastAsia" w:ascii="仿宋" w:hAnsi="仿宋" w:eastAsia="仿宋" w:cs="仿宋"/>
                <w:sz w:val="24"/>
              </w:rPr>
              <w:t>8口千兆普通接入交换机</w:t>
            </w:r>
          </w:p>
        </w:tc>
        <w:tc>
          <w:tcPr>
            <w:tcW w:w="750" w:type="dxa"/>
            <w:vAlign w:val="center"/>
          </w:tcPr>
          <w:p>
            <w:pPr>
              <w:jc w:val="center"/>
              <w:rPr>
                <w:rFonts w:ascii="仿宋" w:hAnsi="仿宋" w:eastAsia="仿宋" w:cs="仿宋"/>
                <w:sz w:val="24"/>
              </w:rPr>
            </w:pPr>
            <w:r>
              <w:rPr>
                <w:rFonts w:hint="eastAsia" w:ascii="仿宋" w:hAnsi="仿宋" w:eastAsia="仿宋" w:cs="仿宋"/>
                <w:sz w:val="24"/>
              </w:rPr>
              <w:t>台</w:t>
            </w:r>
          </w:p>
        </w:tc>
        <w:tc>
          <w:tcPr>
            <w:tcW w:w="833" w:type="dxa"/>
            <w:vAlign w:val="center"/>
          </w:tcPr>
          <w:p>
            <w:pPr>
              <w:jc w:val="center"/>
              <w:rPr>
                <w:rFonts w:ascii="仿宋" w:hAnsi="仿宋" w:eastAsia="仿宋" w:cs="仿宋"/>
                <w:sz w:val="24"/>
              </w:rPr>
            </w:pPr>
            <w:r>
              <w:rPr>
                <w:rFonts w:hint="eastAsia" w:ascii="仿宋" w:hAnsi="仿宋" w:eastAsia="仿宋" w:cs="仿宋"/>
                <w:sz w:val="24"/>
              </w:rPr>
              <w:t>3</w:t>
            </w:r>
          </w:p>
        </w:tc>
        <w:tc>
          <w:tcPr>
            <w:tcW w:w="4050" w:type="dxa"/>
            <w:vAlign w:val="center"/>
          </w:tcPr>
          <w:p>
            <w:pPr>
              <w:jc w:val="left"/>
              <w:rPr>
                <w:rFonts w:hint="eastAsia" w:ascii="仿宋" w:hAnsi="仿宋" w:eastAsia="仿宋" w:cs="仿宋"/>
              </w:rPr>
            </w:pPr>
            <w:r>
              <w:rPr>
                <w:rFonts w:hint="eastAsia" w:ascii="仿宋" w:hAnsi="仿宋" w:eastAsia="仿宋" w:cs="仿宋"/>
              </w:rPr>
              <w:t>1、≥8个100/1000M自适应电口，≥2个100M/1G SFP光口，适配器供电（出厂已配），无风扇。支持POE和POE+,同时可POE供电端口≥8个，同时可POE+供电端口≥4个，POE最大输出功率≥120W。</w:t>
            </w:r>
          </w:p>
          <w:p>
            <w:pPr>
              <w:jc w:val="left"/>
              <w:rPr>
                <w:rFonts w:hint="eastAsia" w:ascii="仿宋" w:hAnsi="仿宋" w:eastAsia="仿宋" w:cs="仿宋"/>
              </w:rPr>
            </w:pPr>
            <w:r>
              <w:rPr>
                <w:rFonts w:hint="eastAsia" w:ascii="仿宋" w:hAnsi="仿宋" w:eastAsia="仿宋" w:cs="仿宋"/>
              </w:rPr>
              <w:t>2、交换容量≥256Gbps，包转发速率≥30Mpps。</w:t>
            </w:r>
          </w:p>
          <w:p>
            <w:pPr>
              <w:jc w:val="left"/>
              <w:rPr>
                <w:rFonts w:hint="eastAsia" w:ascii="仿宋" w:hAnsi="仿宋" w:eastAsia="仿宋" w:cs="仿宋"/>
              </w:rPr>
            </w:pPr>
            <w:r>
              <w:rPr>
                <w:rFonts w:hint="eastAsia" w:ascii="仿宋" w:hAnsi="仿宋" w:eastAsia="仿宋" w:cs="仿宋"/>
              </w:rPr>
              <w:t>3、支持IEEE 802.3az 标准的 EEE节能技术：当EEE使能时，从而大幅度的减小端口在该阶段的功耗，达到了节能的目的。</w:t>
            </w:r>
          </w:p>
          <w:p>
            <w:pPr>
              <w:jc w:val="left"/>
              <w:rPr>
                <w:rFonts w:hint="eastAsia" w:ascii="仿宋" w:hAnsi="仿宋" w:eastAsia="仿宋" w:cs="仿宋"/>
              </w:rPr>
            </w:pPr>
            <w:r>
              <w:rPr>
                <w:rFonts w:hint="eastAsia" w:ascii="仿宋" w:hAnsi="仿宋" w:eastAsia="仿宋" w:cs="仿宋"/>
              </w:rPr>
              <w:t>4、支持SNMP、CLI(Telnet/Console)、Syslog/Debug、NTP、TFTP、Web。</w:t>
            </w:r>
          </w:p>
          <w:p>
            <w:pPr>
              <w:jc w:val="left"/>
              <w:rPr>
                <w:rFonts w:hint="eastAsia" w:ascii="仿宋" w:hAnsi="仿宋" w:eastAsia="仿宋" w:cs="仿宋"/>
              </w:rPr>
            </w:pPr>
            <w:r>
              <w:rPr>
                <w:rFonts w:hint="eastAsia" w:ascii="仿宋" w:hAnsi="仿宋" w:eastAsia="仿宋" w:cs="仿宋"/>
              </w:rPr>
              <w:t>5、支持生成树协议STP，RSTP和MSTP，完全保证快速收敛，提高容错能力，保证网络的稳定运行和链路的负载均衡，合理使用网络通道，提供冗余链路利用率。</w:t>
            </w:r>
          </w:p>
          <w:p>
            <w:pPr>
              <w:jc w:val="left"/>
              <w:rPr>
                <w:rFonts w:hint="eastAsia" w:ascii="仿宋" w:hAnsi="仿宋" w:eastAsia="仿宋" w:cs="仿宋"/>
              </w:rPr>
            </w:pPr>
            <w:r>
              <w:rPr>
                <w:rFonts w:hint="eastAsia" w:ascii="仿宋" w:hAnsi="仿宋" w:eastAsia="仿宋" w:cs="仿宋"/>
              </w:rPr>
              <w:t>6、支持快速链路检测协议（RLDP，Rapid Link Detection Protocol），可快速检测链路的通断和光纤链路的单向性，并支持端口下的环路检测功能，防止端口下因私接Hub等设备形成的环路而导致网络故障的现象。</w:t>
            </w:r>
          </w:p>
          <w:p>
            <w:pPr>
              <w:jc w:val="left"/>
              <w:rPr>
                <w:rFonts w:hint="eastAsia" w:ascii="仿宋" w:hAnsi="仿宋" w:eastAsia="仿宋" w:cs="仿宋"/>
              </w:rPr>
            </w:pPr>
            <w:r>
              <w:rPr>
                <w:rFonts w:hint="eastAsia" w:ascii="仿宋" w:hAnsi="仿宋" w:eastAsia="仿宋" w:cs="仿宋"/>
              </w:rPr>
              <w:t>7、支持特有的CPU保护策略（CPP，CPU Protect Policy），对发往CPU的数据流，进行流区分和优先级队列分级处理，并根据需要实施带宽限速，充分保护CPU不被非法流量占用、恶意攻击和资源消耗，保障了CPU安全，充分保护了交换机的安全。</w:t>
            </w:r>
          </w:p>
          <w:p>
            <w:pPr>
              <w:jc w:val="left"/>
              <w:rPr>
                <w:rFonts w:ascii="仿宋" w:hAnsi="仿宋" w:eastAsia="仿宋" w:cs="仿宋"/>
              </w:rPr>
            </w:pPr>
            <w:r>
              <w:rPr>
                <w:rFonts w:hint="eastAsia" w:ascii="仿宋" w:hAnsi="仿宋" w:eastAsia="仿宋" w:cs="仿宋"/>
              </w:rPr>
              <w:t>8. 管理接口支持IPv6。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1006" w:type="dxa"/>
            <w:vAlign w:val="center"/>
          </w:tcPr>
          <w:p>
            <w:pPr>
              <w:jc w:val="center"/>
              <w:rPr>
                <w:rFonts w:ascii="仿宋" w:hAnsi="仿宋" w:eastAsia="仿宋" w:cs="仿宋"/>
                <w:sz w:val="24"/>
              </w:rPr>
            </w:pPr>
            <w:r>
              <w:rPr>
                <w:rFonts w:hint="eastAsia" w:ascii="仿宋" w:hAnsi="仿宋" w:eastAsia="仿宋" w:cs="仿宋"/>
                <w:sz w:val="24"/>
              </w:rPr>
              <w:t>3</w:t>
            </w:r>
          </w:p>
        </w:tc>
        <w:tc>
          <w:tcPr>
            <w:tcW w:w="2105" w:type="dxa"/>
            <w:vAlign w:val="center"/>
          </w:tcPr>
          <w:p>
            <w:pPr>
              <w:widowControl/>
              <w:jc w:val="center"/>
              <w:textAlignment w:val="center"/>
              <w:rPr>
                <w:rFonts w:ascii="仿宋" w:hAnsi="仿宋" w:eastAsia="仿宋" w:cs="仿宋"/>
                <w:sz w:val="24"/>
              </w:rPr>
            </w:pPr>
            <w:r>
              <w:rPr>
                <w:rFonts w:hint="eastAsia" w:ascii="仿宋" w:hAnsi="仿宋" w:eastAsia="仿宋" w:cs="仿宋"/>
                <w:sz w:val="24"/>
              </w:rPr>
              <w:t>六类非屏蔽双绞线</w:t>
            </w:r>
          </w:p>
        </w:tc>
        <w:tc>
          <w:tcPr>
            <w:tcW w:w="750" w:type="dxa"/>
            <w:vAlign w:val="center"/>
          </w:tcPr>
          <w:p>
            <w:pPr>
              <w:jc w:val="center"/>
              <w:rPr>
                <w:rFonts w:ascii="仿宋" w:hAnsi="仿宋" w:eastAsia="仿宋" w:cs="仿宋"/>
                <w:sz w:val="24"/>
              </w:rPr>
            </w:pPr>
            <w:r>
              <w:rPr>
                <w:rFonts w:hint="eastAsia" w:ascii="仿宋" w:hAnsi="仿宋" w:eastAsia="仿宋" w:cs="仿宋"/>
                <w:sz w:val="24"/>
              </w:rPr>
              <w:t>米</w:t>
            </w:r>
          </w:p>
        </w:tc>
        <w:tc>
          <w:tcPr>
            <w:tcW w:w="833" w:type="dxa"/>
            <w:vAlign w:val="center"/>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300</w:t>
            </w:r>
          </w:p>
        </w:tc>
        <w:tc>
          <w:tcPr>
            <w:tcW w:w="4050" w:type="dxa"/>
            <w:vAlign w:val="center"/>
          </w:tcPr>
          <w:p>
            <w:pPr>
              <w:rPr>
                <w:rFonts w:hint="eastAsia" w:ascii="仿宋" w:hAnsi="仿宋" w:eastAsia="仿宋" w:cs="仿宋"/>
              </w:rPr>
            </w:pPr>
            <w:r>
              <w:rPr>
                <w:rFonts w:hint="eastAsia" w:ascii="仿宋" w:hAnsi="仿宋" w:eastAsia="仿宋" w:cs="仿宋"/>
              </w:rPr>
              <w:t>1、100Ω,250MHz，23AWG；</w:t>
            </w:r>
          </w:p>
          <w:p>
            <w:pPr>
              <w:rPr>
                <w:rFonts w:hint="eastAsia" w:ascii="仿宋" w:hAnsi="仿宋" w:eastAsia="仿宋" w:cs="仿宋"/>
              </w:rPr>
            </w:pPr>
            <w:r>
              <w:rPr>
                <w:rFonts w:hint="eastAsia" w:ascii="仿宋" w:hAnsi="仿宋" w:eastAsia="仿宋" w:cs="仿宋"/>
              </w:rPr>
              <w:t>2、符合国际性能标准；</w:t>
            </w:r>
          </w:p>
          <w:p>
            <w:pPr>
              <w:rPr>
                <w:rFonts w:hint="eastAsia" w:ascii="仿宋" w:hAnsi="仿宋" w:eastAsia="仿宋" w:cs="仿宋"/>
              </w:rPr>
            </w:pPr>
            <w:r>
              <w:rPr>
                <w:rFonts w:hint="eastAsia" w:ascii="仿宋" w:hAnsi="仿宋" w:eastAsia="仿宋" w:cs="仿宋"/>
              </w:rPr>
              <w:t>3、抗干扰性能好；</w:t>
            </w:r>
          </w:p>
          <w:p>
            <w:pPr>
              <w:rPr>
                <w:rFonts w:hint="eastAsia" w:ascii="仿宋" w:hAnsi="仿宋" w:eastAsia="仿宋" w:cs="仿宋"/>
              </w:rPr>
            </w:pPr>
            <w:r>
              <w:rPr>
                <w:rFonts w:hint="eastAsia" w:ascii="仿宋" w:hAnsi="仿宋" w:eastAsia="仿宋" w:cs="仿宋"/>
              </w:rPr>
              <w:t>4、符合环保要求；</w:t>
            </w:r>
          </w:p>
          <w:p>
            <w:pPr>
              <w:widowControl/>
              <w:rPr>
                <w:rFonts w:ascii="仿宋" w:hAnsi="仿宋" w:eastAsia="仿宋" w:cs="仿宋"/>
                <w:sz w:val="24"/>
              </w:rPr>
            </w:pPr>
            <w:r>
              <w:rPr>
                <w:rFonts w:hint="eastAsia" w:ascii="仿宋" w:hAnsi="仿宋" w:eastAsia="仿宋" w:cs="仿宋"/>
              </w:rPr>
              <w:t>5、应用范围：六类/D级水平与高传输速率网络应用：千兆以太网，10/100BaseT等。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006" w:type="dxa"/>
            <w:vAlign w:val="center"/>
          </w:tcPr>
          <w:p>
            <w:pPr>
              <w:jc w:val="center"/>
              <w:rPr>
                <w:rFonts w:ascii="仿宋" w:hAnsi="仿宋" w:eastAsia="仿宋" w:cs="仿宋"/>
                <w:sz w:val="24"/>
              </w:rPr>
            </w:pPr>
            <w:r>
              <w:rPr>
                <w:rFonts w:hint="eastAsia" w:ascii="仿宋" w:hAnsi="仿宋" w:eastAsia="仿宋" w:cs="仿宋"/>
                <w:sz w:val="24"/>
              </w:rPr>
              <w:t>4</w:t>
            </w:r>
          </w:p>
        </w:tc>
        <w:tc>
          <w:tcPr>
            <w:tcW w:w="2105" w:type="dxa"/>
            <w:vAlign w:val="center"/>
          </w:tcPr>
          <w:p>
            <w:pPr>
              <w:widowControl/>
              <w:jc w:val="center"/>
              <w:textAlignment w:val="center"/>
              <w:rPr>
                <w:rFonts w:ascii="仿宋" w:hAnsi="仿宋" w:eastAsia="仿宋" w:cs="仿宋"/>
                <w:sz w:val="24"/>
              </w:rPr>
            </w:pPr>
            <w:r>
              <w:rPr>
                <w:rFonts w:hint="eastAsia" w:ascii="仿宋" w:hAnsi="仿宋" w:eastAsia="仿宋" w:cs="仿宋"/>
                <w:sz w:val="24"/>
              </w:rPr>
              <w:t>PVC 套管</w:t>
            </w:r>
          </w:p>
        </w:tc>
        <w:tc>
          <w:tcPr>
            <w:tcW w:w="750" w:type="dxa"/>
            <w:vAlign w:val="center"/>
          </w:tcPr>
          <w:p>
            <w:pPr>
              <w:jc w:val="center"/>
              <w:rPr>
                <w:rFonts w:ascii="仿宋" w:hAnsi="仿宋" w:eastAsia="仿宋" w:cs="仿宋"/>
                <w:sz w:val="24"/>
              </w:rPr>
            </w:pPr>
            <w:r>
              <w:rPr>
                <w:rFonts w:hint="eastAsia" w:ascii="仿宋" w:hAnsi="仿宋" w:eastAsia="仿宋" w:cs="仿宋"/>
                <w:sz w:val="24"/>
              </w:rPr>
              <w:t>米</w:t>
            </w:r>
          </w:p>
        </w:tc>
        <w:tc>
          <w:tcPr>
            <w:tcW w:w="833" w:type="dxa"/>
            <w:vAlign w:val="center"/>
          </w:tcPr>
          <w:p>
            <w:pPr>
              <w:jc w:val="center"/>
              <w:rPr>
                <w:rFonts w:ascii="仿宋" w:hAnsi="仿宋" w:eastAsia="仿宋" w:cs="仿宋"/>
                <w:sz w:val="24"/>
              </w:rPr>
            </w:pPr>
            <w:r>
              <w:rPr>
                <w:rFonts w:ascii="仿宋" w:hAnsi="仿宋" w:eastAsia="仿宋" w:cs="仿宋"/>
                <w:sz w:val="24"/>
              </w:rPr>
              <w:t>900</w:t>
            </w:r>
          </w:p>
        </w:tc>
        <w:tc>
          <w:tcPr>
            <w:tcW w:w="4050" w:type="dxa"/>
            <w:vAlign w:val="center"/>
          </w:tcPr>
          <w:p>
            <w:pPr>
              <w:rPr>
                <w:rFonts w:ascii="仿宋" w:hAnsi="仿宋" w:eastAsia="仿宋" w:cs="仿宋"/>
              </w:rPr>
            </w:pPr>
            <w:r>
              <w:rPr>
                <w:rFonts w:hint="eastAsia" w:ascii="仿宋" w:hAnsi="仿宋" w:eastAsia="仿宋" w:cs="仿宋"/>
              </w:rPr>
              <w:t>φ20PVC 套管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06" w:type="dxa"/>
            <w:vAlign w:val="center"/>
          </w:tcPr>
          <w:p>
            <w:pPr>
              <w:jc w:val="center"/>
              <w:rPr>
                <w:rFonts w:ascii="仿宋" w:hAnsi="仿宋" w:eastAsia="仿宋" w:cs="仿宋"/>
                <w:sz w:val="24"/>
              </w:rPr>
            </w:pPr>
            <w:r>
              <w:rPr>
                <w:rFonts w:hint="eastAsia" w:ascii="仿宋" w:hAnsi="仿宋" w:eastAsia="仿宋" w:cs="仿宋"/>
                <w:sz w:val="24"/>
              </w:rPr>
              <w:t>5</w:t>
            </w:r>
          </w:p>
        </w:tc>
        <w:tc>
          <w:tcPr>
            <w:tcW w:w="2105" w:type="dxa"/>
            <w:vAlign w:val="center"/>
          </w:tcPr>
          <w:p>
            <w:pPr>
              <w:jc w:val="center"/>
              <w:rPr>
                <w:rFonts w:ascii="仿宋" w:hAnsi="仿宋" w:eastAsia="仿宋" w:cs="仿宋"/>
                <w:sz w:val="24"/>
              </w:rPr>
            </w:pPr>
            <w:r>
              <w:rPr>
                <w:rFonts w:hint="eastAsia" w:ascii="仿宋" w:hAnsi="仿宋" w:eastAsia="仿宋" w:cs="仿宋"/>
                <w:sz w:val="24"/>
              </w:rPr>
              <w:t>辅材</w:t>
            </w:r>
          </w:p>
        </w:tc>
        <w:tc>
          <w:tcPr>
            <w:tcW w:w="750" w:type="dxa"/>
            <w:vAlign w:val="center"/>
          </w:tcPr>
          <w:p>
            <w:pPr>
              <w:jc w:val="center"/>
              <w:rPr>
                <w:rFonts w:ascii="仿宋" w:hAnsi="仿宋" w:eastAsia="仿宋" w:cs="仿宋"/>
                <w:sz w:val="24"/>
              </w:rPr>
            </w:pPr>
            <w:r>
              <w:rPr>
                <w:rFonts w:hint="eastAsia" w:ascii="仿宋" w:hAnsi="仿宋" w:eastAsia="仿宋" w:cs="仿宋"/>
                <w:sz w:val="24"/>
              </w:rPr>
              <w:t>批</w:t>
            </w:r>
          </w:p>
        </w:tc>
        <w:tc>
          <w:tcPr>
            <w:tcW w:w="833" w:type="dxa"/>
            <w:vAlign w:val="center"/>
          </w:tcPr>
          <w:p>
            <w:pPr>
              <w:jc w:val="center"/>
              <w:rPr>
                <w:rFonts w:ascii="仿宋" w:hAnsi="仿宋" w:eastAsia="仿宋" w:cs="仿宋"/>
                <w:sz w:val="24"/>
              </w:rPr>
            </w:pPr>
            <w:r>
              <w:rPr>
                <w:rFonts w:hint="eastAsia" w:ascii="仿宋" w:hAnsi="仿宋" w:eastAsia="仿宋" w:cs="仿宋"/>
                <w:sz w:val="24"/>
              </w:rPr>
              <w:t>1</w:t>
            </w:r>
          </w:p>
        </w:tc>
        <w:tc>
          <w:tcPr>
            <w:tcW w:w="4050" w:type="dxa"/>
            <w:vAlign w:val="center"/>
          </w:tcPr>
          <w:p>
            <w:pPr>
              <w:rPr>
                <w:rFonts w:ascii="仿宋" w:hAnsi="仿宋" w:eastAsia="仿宋" w:cs="仿宋"/>
              </w:rPr>
            </w:pPr>
            <w:r>
              <w:rPr>
                <w:rFonts w:hint="eastAsia" w:ascii="仿宋" w:hAnsi="仿宋" w:eastAsia="仿宋" w:cs="仿宋"/>
              </w:rPr>
              <w:t>含耦合器、尾纤、跳线、熔接、水晶头、绝缘胶布、扎带等材料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006" w:type="dxa"/>
            <w:vAlign w:val="center"/>
          </w:tcPr>
          <w:p>
            <w:pPr>
              <w:jc w:val="center"/>
              <w:rPr>
                <w:rFonts w:ascii="仿宋" w:hAnsi="仿宋" w:eastAsia="仿宋" w:cs="仿宋"/>
                <w:sz w:val="24"/>
              </w:rPr>
            </w:pPr>
            <w:r>
              <w:rPr>
                <w:rFonts w:ascii="仿宋" w:hAnsi="仿宋" w:eastAsia="仿宋" w:cs="仿宋"/>
                <w:sz w:val="24"/>
              </w:rPr>
              <w:t>6</w:t>
            </w:r>
          </w:p>
        </w:tc>
        <w:tc>
          <w:tcPr>
            <w:tcW w:w="2105" w:type="dxa"/>
            <w:vAlign w:val="center"/>
          </w:tcPr>
          <w:p>
            <w:pPr>
              <w:jc w:val="center"/>
              <w:rPr>
                <w:rFonts w:ascii="仿宋" w:hAnsi="仿宋" w:eastAsia="仿宋" w:cs="仿宋"/>
                <w:sz w:val="24"/>
              </w:rPr>
            </w:pPr>
            <w:r>
              <w:rPr>
                <w:rFonts w:hint="eastAsia" w:ascii="仿宋" w:hAnsi="仿宋" w:eastAsia="仿宋" w:cs="仿宋"/>
                <w:sz w:val="24"/>
              </w:rPr>
              <w:t>安装调试费</w:t>
            </w:r>
          </w:p>
        </w:tc>
        <w:tc>
          <w:tcPr>
            <w:tcW w:w="750" w:type="dxa"/>
            <w:vAlign w:val="center"/>
          </w:tcPr>
          <w:p>
            <w:pPr>
              <w:jc w:val="center"/>
              <w:rPr>
                <w:rFonts w:ascii="仿宋" w:hAnsi="仿宋" w:eastAsia="仿宋" w:cs="仿宋"/>
                <w:sz w:val="24"/>
              </w:rPr>
            </w:pPr>
            <w:r>
              <w:rPr>
                <w:rFonts w:hint="eastAsia" w:ascii="仿宋" w:hAnsi="仿宋" w:eastAsia="仿宋" w:cs="仿宋"/>
                <w:sz w:val="24"/>
              </w:rPr>
              <w:t>项</w:t>
            </w:r>
          </w:p>
        </w:tc>
        <w:tc>
          <w:tcPr>
            <w:tcW w:w="833" w:type="dxa"/>
            <w:vAlign w:val="center"/>
          </w:tcPr>
          <w:p>
            <w:pPr>
              <w:jc w:val="center"/>
              <w:rPr>
                <w:rFonts w:ascii="仿宋" w:hAnsi="仿宋" w:eastAsia="仿宋" w:cs="仿宋"/>
                <w:sz w:val="24"/>
              </w:rPr>
            </w:pPr>
            <w:r>
              <w:rPr>
                <w:rFonts w:ascii="仿宋" w:hAnsi="仿宋" w:eastAsia="仿宋" w:cs="仿宋"/>
                <w:sz w:val="24"/>
              </w:rPr>
              <w:t>1</w:t>
            </w:r>
          </w:p>
        </w:tc>
        <w:tc>
          <w:tcPr>
            <w:tcW w:w="4050" w:type="dxa"/>
            <w:vAlign w:val="center"/>
          </w:tcPr>
          <w:p>
            <w:pPr>
              <w:rPr>
                <w:rFonts w:hint="eastAsia" w:ascii="仿宋" w:hAnsi="仿宋" w:eastAsia="仿宋" w:cs="仿宋"/>
              </w:rPr>
            </w:pPr>
            <w:r>
              <w:rPr>
                <w:rFonts w:hint="eastAsia" w:ascii="仿宋" w:hAnsi="仿宋" w:eastAsia="仿宋" w:cs="仿宋"/>
              </w:rPr>
              <w:t>1.设备运输、安装、调试；</w:t>
            </w:r>
          </w:p>
          <w:p>
            <w:pPr>
              <w:rPr>
                <w:rFonts w:hint="eastAsia" w:ascii="仿宋" w:hAnsi="仿宋" w:eastAsia="仿宋" w:cs="仿宋"/>
              </w:rPr>
            </w:pPr>
            <w:r>
              <w:rPr>
                <w:rFonts w:hint="eastAsia" w:ascii="仿宋" w:hAnsi="仿宋" w:eastAsia="仿宋" w:cs="仿宋"/>
              </w:rPr>
              <w:t>2.线路敷设、接入；</w:t>
            </w:r>
          </w:p>
          <w:p>
            <w:pPr>
              <w:rPr>
                <w:rFonts w:hint="eastAsia" w:ascii="仿宋" w:hAnsi="仿宋" w:eastAsia="仿宋" w:cs="仿宋"/>
              </w:rPr>
            </w:pPr>
            <w:r>
              <w:rPr>
                <w:rFonts w:hint="eastAsia" w:ascii="仿宋" w:hAnsi="仿宋" w:eastAsia="仿宋" w:cs="仿宋"/>
              </w:rPr>
              <w:t>3.施工阶段、售后阶段保障系统运行的技术服务；</w:t>
            </w:r>
          </w:p>
          <w:p>
            <w:pPr>
              <w:rPr>
                <w:rFonts w:hint="eastAsia" w:ascii="仿宋" w:hAnsi="仿宋" w:eastAsia="仿宋" w:cs="仿宋"/>
              </w:rPr>
            </w:pPr>
            <w:r>
              <w:rPr>
                <w:rFonts w:hint="eastAsia" w:ascii="仿宋" w:hAnsi="仿宋" w:eastAsia="仿宋" w:cs="仿宋"/>
              </w:rPr>
              <w:t>4.特殊产品的定制、研发；</w:t>
            </w:r>
          </w:p>
          <w:p>
            <w:pPr>
              <w:rPr>
                <w:rFonts w:hint="eastAsia" w:ascii="仿宋" w:hAnsi="仿宋" w:eastAsia="仿宋" w:cs="仿宋"/>
              </w:rPr>
            </w:pPr>
            <w:r>
              <w:rPr>
                <w:rFonts w:hint="eastAsia" w:ascii="仿宋" w:hAnsi="仿宋" w:eastAsia="仿宋" w:cs="仿宋"/>
              </w:rPr>
              <w:t>5.系统中的云平台、云服务器对接、调试、集成；</w:t>
            </w:r>
          </w:p>
          <w:p>
            <w:pPr>
              <w:rPr>
                <w:rFonts w:ascii="仿宋" w:hAnsi="仿宋" w:eastAsia="仿宋" w:cs="仿宋"/>
                <w:sz w:val="24"/>
              </w:rPr>
            </w:pPr>
            <w:r>
              <w:rPr>
                <w:rFonts w:hint="eastAsia" w:ascii="仿宋" w:hAnsi="仿宋" w:eastAsia="仿宋" w:cs="仿宋"/>
              </w:rPr>
              <w:t>6.项目周期中的技术类、服务类、材料类配合。</w:t>
            </w:r>
          </w:p>
        </w:tc>
      </w:tr>
    </w:tbl>
    <w:p/>
    <w:p/>
    <w:p>
      <w:pPr>
        <w:widowControl/>
        <w:jc w:val="left"/>
        <w:rPr>
          <w:rFonts w:ascii="宋体" w:hAnsi="宋体" w:cs="宋体"/>
          <w:color w:val="3A3A3A"/>
          <w:kern w:val="0"/>
          <w:sz w:val="24"/>
        </w:rPr>
      </w:pPr>
      <w:r>
        <w:rPr>
          <w:rFonts w:ascii="宋体" w:hAnsi="宋体" w:cs="宋体"/>
          <w:color w:val="3A3A3A"/>
          <w:kern w:val="0"/>
          <w:sz w:val="24"/>
        </w:rPr>
        <w:br w:type="page"/>
      </w:r>
    </w:p>
    <w:p>
      <w:pPr>
        <w:widowControl/>
        <w:shd w:val="clear" w:color="auto" w:fill="FFFFFF"/>
        <w:adjustRightInd w:val="0"/>
        <w:snapToGrid w:val="0"/>
        <w:spacing w:line="360" w:lineRule="auto"/>
        <w:jc w:val="left"/>
        <w:rPr>
          <w:rFonts w:ascii="宋体" w:hAnsi="宋体" w:cs="宋体"/>
          <w:color w:val="3A3A3A"/>
          <w:kern w:val="0"/>
          <w:sz w:val="24"/>
        </w:rPr>
      </w:pPr>
      <w:r>
        <w:rPr>
          <w:rFonts w:hint="eastAsia" w:ascii="宋体" w:hAnsi="宋体" w:cs="宋体"/>
          <w:color w:val="3A3A3A"/>
          <w:kern w:val="0"/>
          <w:sz w:val="24"/>
        </w:rPr>
        <w:t>附件2：报价文件参考格式</w:t>
      </w:r>
    </w:p>
    <w:p>
      <w:pPr>
        <w:widowControl/>
        <w:shd w:val="clear" w:color="auto" w:fill="FFFFFF"/>
        <w:adjustRightInd w:val="0"/>
        <w:snapToGrid w:val="0"/>
        <w:spacing w:line="360" w:lineRule="auto"/>
        <w:jc w:val="left"/>
        <w:rPr>
          <w:rFonts w:ascii="宋体" w:hAnsi="宋体" w:cs="宋体"/>
          <w:color w:val="3A3A3A"/>
          <w:kern w:val="0"/>
          <w:sz w:val="24"/>
        </w:rPr>
      </w:pPr>
    </w:p>
    <w:p>
      <w:pPr>
        <w:widowControl/>
        <w:shd w:val="clear" w:color="auto" w:fill="FFFFFF"/>
        <w:adjustRightInd w:val="0"/>
        <w:snapToGrid w:val="0"/>
        <w:spacing w:line="480" w:lineRule="auto"/>
        <w:ind w:firstLine="3480" w:firstLineChars="1450"/>
        <w:jc w:val="left"/>
        <w:rPr>
          <w:rFonts w:ascii="宋体" w:hAnsi="宋体"/>
          <w:sz w:val="24"/>
        </w:rPr>
      </w:pPr>
      <w:r>
        <w:rPr>
          <w:rFonts w:hint="eastAsia" w:ascii="宋体" w:hAnsi="宋体"/>
          <w:sz w:val="24"/>
        </w:rPr>
        <w:t>报价文件</w:t>
      </w:r>
    </w:p>
    <w:p>
      <w:pPr>
        <w:widowControl/>
        <w:shd w:val="clear" w:color="auto" w:fill="FFFFFF"/>
        <w:adjustRightInd w:val="0"/>
        <w:snapToGrid w:val="0"/>
        <w:spacing w:line="480" w:lineRule="auto"/>
        <w:jc w:val="left"/>
        <w:rPr>
          <w:rFonts w:ascii="宋体" w:hAnsi="宋体" w:cs="宋体"/>
          <w:color w:val="3A3A3A"/>
          <w:kern w:val="0"/>
          <w:sz w:val="24"/>
          <w:u w:val="single"/>
        </w:rPr>
      </w:pPr>
      <w:r>
        <w:rPr>
          <w:rFonts w:hint="eastAsia" w:ascii="宋体" w:hAnsi="宋体" w:cs="宋体"/>
          <w:color w:val="3A3A3A"/>
          <w:kern w:val="0"/>
          <w:sz w:val="24"/>
        </w:rPr>
        <w:t>报价单位：</w:t>
      </w:r>
      <w:r>
        <w:rPr>
          <w:rFonts w:hint="eastAsia" w:ascii="宋体" w:hAnsi="宋体" w:cs="宋体"/>
          <w:color w:val="3A3A3A"/>
          <w:kern w:val="0"/>
          <w:sz w:val="24"/>
          <w:u w:val="single"/>
        </w:rPr>
        <w:t xml:space="preserve">                      .</w:t>
      </w:r>
      <w:r>
        <w:rPr>
          <w:rFonts w:ascii="宋体" w:hAnsi="宋体" w:cs="宋体"/>
          <w:color w:val="3A3A3A"/>
          <w:kern w:val="0"/>
          <w:sz w:val="24"/>
          <w:u w:val="single"/>
        </w:rPr>
        <w:t xml:space="preserve">                                                                                                          </w:t>
      </w:r>
    </w:p>
    <w:p>
      <w:pPr>
        <w:widowControl/>
        <w:shd w:val="clear" w:color="auto" w:fill="FFFFFF"/>
        <w:adjustRightInd w:val="0"/>
        <w:snapToGrid w:val="0"/>
        <w:spacing w:line="480" w:lineRule="auto"/>
        <w:jc w:val="left"/>
        <w:rPr>
          <w:rFonts w:ascii="宋体" w:hAnsi="宋体" w:cs="宋体"/>
          <w:color w:val="3A3A3A"/>
          <w:kern w:val="0"/>
          <w:sz w:val="24"/>
        </w:rPr>
      </w:pPr>
      <w:r>
        <w:rPr>
          <w:rFonts w:hint="eastAsia" w:ascii="宋体" w:hAnsi="宋体" w:cs="宋体"/>
          <w:color w:val="3A3A3A"/>
          <w:kern w:val="0"/>
          <w:sz w:val="24"/>
        </w:rPr>
        <w:t>最终报价人民币：（大写）</w:t>
      </w:r>
      <w:r>
        <w:rPr>
          <w:rFonts w:hint="eastAsia" w:ascii="宋体" w:hAnsi="宋体" w:cs="宋体"/>
          <w:color w:val="3A3A3A"/>
          <w:kern w:val="0"/>
          <w:sz w:val="24"/>
          <w:u w:val="single"/>
        </w:rPr>
        <w:t xml:space="preserve">                   （小写）      </w:t>
      </w:r>
      <w:r>
        <w:rPr>
          <w:rFonts w:hint="eastAsia" w:ascii="宋体" w:hAnsi="宋体" w:cs="宋体"/>
          <w:color w:val="3A3A3A"/>
          <w:kern w:val="0"/>
          <w:sz w:val="24"/>
        </w:rPr>
        <w:t>元</w:t>
      </w:r>
      <w:r>
        <w:rPr>
          <w:rFonts w:ascii="宋体" w:hAnsi="宋体" w:cs="宋体"/>
          <w:color w:val="3A3A3A"/>
          <w:kern w:val="0"/>
          <w:sz w:val="24"/>
        </w:rPr>
        <w:t xml:space="preserve"> </w:t>
      </w:r>
      <w:r>
        <w:rPr>
          <w:rFonts w:hint="eastAsia" w:ascii="宋体" w:hAnsi="宋体" w:cs="宋体"/>
          <w:color w:val="3A3A3A"/>
          <w:kern w:val="0"/>
          <w:sz w:val="24"/>
        </w:rPr>
        <w:t xml:space="preserve">                   </w:t>
      </w:r>
      <w:r>
        <w:rPr>
          <w:rFonts w:ascii="宋体" w:hAnsi="宋体" w:cs="宋体"/>
          <w:color w:val="3A3A3A"/>
          <w:kern w:val="0"/>
          <w:sz w:val="24"/>
        </w:rPr>
        <w:t xml:space="preserve">                                     </w:t>
      </w:r>
    </w:p>
    <w:p>
      <w:pPr>
        <w:widowControl/>
        <w:shd w:val="clear" w:color="auto" w:fill="FFFFFF"/>
        <w:adjustRightInd w:val="0"/>
        <w:snapToGrid w:val="0"/>
        <w:spacing w:line="480" w:lineRule="auto"/>
        <w:jc w:val="left"/>
        <w:rPr>
          <w:rFonts w:ascii="宋体" w:hAnsi="宋体" w:cs="宋体"/>
          <w:color w:val="3A3A3A"/>
          <w:kern w:val="0"/>
          <w:sz w:val="24"/>
          <w:u w:val="thick"/>
        </w:rPr>
      </w:pPr>
      <w:r>
        <w:rPr>
          <w:rFonts w:hint="eastAsia" w:ascii="宋体" w:hAnsi="宋体" w:cs="宋体"/>
          <w:color w:val="3A3A3A"/>
          <w:kern w:val="0"/>
          <w:sz w:val="24"/>
        </w:rPr>
        <w:t>联系人及联系电话</w:t>
      </w:r>
      <w:r>
        <w:rPr>
          <w:rFonts w:hint="eastAsia" w:ascii="宋体" w:hAnsi="宋体" w:cs="宋体"/>
          <w:color w:val="3A3A3A"/>
          <w:kern w:val="0"/>
          <w:sz w:val="24"/>
          <w:u w:val="single"/>
        </w:rPr>
        <w:t xml:space="preserve">：                          </w:t>
      </w:r>
      <w:r>
        <w:rPr>
          <w:rFonts w:hint="eastAsia" w:ascii="宋体" w:hAnsi="宋体" w:cs="宋体"/>
          <w:color w:val="3A3A3A"/>
          <w:kern w:val="0"/>
          <w:sz w:val="24"/>
        </w:rPr>
        <w:t>.</w:t>
      </w:r>
    </w:p>
    <w:p>
      <w:r>
        <w:rPr>
          <w:rFonts w:hint="eastAsia" w:ascii="宋体" w:hAnsi="宋体" w:cs="宋体"/>
          <w:color w:val="FF0000"/>
          <w:kern w:val="0"/>
          <w:sz w:val="24"/>
        </w:rPr>
        <w:t>注:</w:t>
      </w:r>
      <w:r>
        <w:rPr>
          <w:rFonts w:hint="eastAsia" w:ascii="宋体" w:hAnsi="宋体"/>
          <w:color w:val="FF0000"/>
          <w:sz w:val="24"/>
        </w:rPr>
        <w:t xml:space="preserve"> </w:t>
      </w:r>
      <w:r>
        <w:rPr>
          <w:rFonts w:hint="eastAsia" w:ascii="宋体" w:hAnsi="宋体" w:cs="宋体"/>
          <w:color w:val="FF0000"/>
          <w:kern w:val="0"/>
          <w:sz w:val="24"/>
        </w:rPr>
        <w:t>请各报价单位按询价公告所有要求的内容响应提交承诺函、报价表、营业执</w:t>
      </w:r>
      <w:bookmarkStart w:id="0" w:name="_GoBack"/>
      <w:r>
        <w:rPr>
          <w:rFonts w:hint="eastAsia" w:ascii="宋体" w:hAnsi="宋体" w:cs="宋体"/>
          <w:color w:val="FF0000"/>
          <w:kern w:val="0"/>
          <w:sz w:val="24"/>
        </w:rPr>
        <w:t xml:space="preserve">照、资质证书等相关证明材料复印件，并加盖公章。 </w:t>
      </w:r>
      <w:r>
        <w:rPr>
          <w:rFonts w:hint="eastAsia" w:ascii="宋体" w:hAnsi="宋体" w:cs="宋体"/>
          <w:color w:val="FF0000"/>
          <w:kern w:val="0"/>
          <w:sz w:val="28"/>
          <w:szCs w:val="28"/>
        </w:rPr>
        <w:t xml:space="preserve">  </w:t>
      </w:r>
      <w:r>
        <w:rPr>
          <w:rFonts w:hint="eastAsia" w:ascii="宋体" w:hAnsi="宋体"/>
          <w:color w:val="FF0000"/>
          <w:sz w:val="28"/>
          <w:szCs w:val="28"/>
        </w:rPr>
        <w:t xml:space="preserve"> </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2970781"/>
      <w:docPartObj>
        <w:docPartGallery w:val="AutoText"/>
      </w:docPartObj>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9B3037"/>
    <w:multiLevelType w:val="singleLevel"/>
    <w:tmpl w:val="679B303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075"/>
    <w:rsid w:val="000506CD"/>
    <w:rsid w:val="000651CF"/>
    <w:rsid w:val="000A2508"/>
    <w:rsid w:val="0014460E"/>
    <w:rsid w:val="0019749C"/>
    <w:rsid w:val="001B5075"/>
    <w:rsid w:val="001F754C"/>
    <w:rsid w:val="00225980"/>
    <w:rsid w:val="00234BB6"/>
    <w:rsid w:val="002D7F63"/>
    <w:rsid w:val="00332E7E"/>
    <w:rsid w:val="003434BC"/>
    <w:rsid w:val="00350F45"/>
    <w:rsid w:val="003C306D"/>
    <w:rsid w:val="00431A3D"/>
    <w:rsid w:val="00446287"/>
    <w:rsid w:val="004513E8"/>
    <w:rsid w:val="004C1EAC"/>
    <w:rsid w:val="005235CB"/>
    <w:rsid w:val="00535DC6"/>
    <w:rsid w:val="005A3298"/>
    <w:rsid w:val="006317D9"/>
    <w:rsid w:val="00645D5B"/>
    <w:rsid w:val="006533A3"/>
    <w:rsid w:val="00775684"/>
    <w:rsid w:val="007F71EA"/>
    <w:rsid w:val="008069D3"/>
    <w:rsid w:val="00884D05"/>
    <w:rsid w:val="008A5EE8"/>
    <w:rsid w:val="00933025"/>
    <w:rsid w:val="009741FF"/>
    <w:rsid w:val="009A7FDA"/>
    <w:rsid w:val="009B1BB3"/>
    <w:rsid w:val="009B3A78"/>
    <w:rsid w:val="00A115D8"/>
    <w:rsid w:val="00A65913"/>
    <w:rsid w:val="00A7514A"/>
    <w:rsid w:val="00AE1160"/>
    <w:rsid w:val="00AF13BE"/>
    <w:rsid w:val="00B0197F"/>
    <w:rsid w:val="00B57816"/>
    <w:rsid w:val="00B73786"/>
    <w:rsid w:val="00BC4D8C"/>
    <w:rsid w:val="00C32126"/>
    <w:rsid w:val="00C77291"/>
    <w:rsid w:val="00CB4DE9"/>
    <w:rsid w:val="00D207D5"/>
    <w:rsid w:val="00D247F8"/>
    <w:rsid w:val="00DA1096"/>
    <w:rsid w:val="00E36FA4"/>
    <w:rsid w:val="00E424B4"/>
    <w:rsid w:val="00E512D3"/>
    <w:rsid w:val="00F115E6"/>
    <w:rsid w:val="00F34D5B"/>
    <w:rsid w:val="00F70FED"/>
    <w:rsid w:val="03170315"/>
    <w:rsid w:val="049806A8"/>
    <w:rsid w:val="05823BC4"/>
    <w:rsid w:val="08DB0835"/>
    <w:rsid w:val="096E7FAC"/>
    <w:rsid w:val="24302A1C"/>
    <w:rsid w:val="250259AC"/>
    <w:rsid w:val="2CC556C9"/>
    <w:rsid w:val="36EE48AB"/>
    <w:rsid w:val="39D96680"/>
    <w:rsid w:val="400868E8"/>
    <w:rsid w:val="410777DB"/>
    <w:rsid w:val="41796364"/>
    <w:rsid w:val="462F47B9"/>
    <w:rsid w:val="4A3D3A81"/>
    <w:rsid w:val="53B94759"/>
    <w:rsid w:val="597864E4"/>
    <w:rsid w:val="5BBE128F"/>
    <w:rsid w:val="62C631B6"/>
    <w:rsid w:val="78862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qFormat/>
    <w:uiPriority w:val="0"/>
    <w:rPr>
      <w:sz w:val="18"/>
      <w:szCs w:val="18"/>
    </w:rPr>
  </w:style>
  <w:style w:type="paragraph" w:styleId="4">
    <w:name w:val="footer"/>
    <w:basedOn w:val="1"/>
    <w:link w:val="10"/>
    <w:uiPriority w:val="99"/>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rPr>
  </w:style>
  <w:style w:type="character" w:customStyle="1" w:styleId="9">
    <w:name w:val="页眉 字符"/>
    <w:basedOn w:val="8"/>
    <w:link w:val="5"/>
    <w:uiPriority w:val="0"/>
    <w:rPr>
      <w:rFonts w:ascii="Calibri" w:hAnsi="Calibri"/>
      <w:kern w:val="2"/>
      <w:sz w:val="18"/>
      <w:szCs w:val="18"/>
    </w:rPr>
  </w:style>
  <w:style w:type="character" w:customStyle="1" w:styleId="10">
    <w:name w:val="页脚 字符"/>
    <w:basedOn w:val="8"/>
    <w:link w:val="4"/>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639</Words>
  <Characters>3646</Characters>
  <Lines>30</Lines>
  <Paragraphs>8</Paragraphs>
  <TotalTime>1</TotalTime>
  <ScaleCrop>false</ScaleCrop>
  <LinksUpToDate>false</LinksUpToDate>
  <CharactersWithSpaces>4277</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2021-11-08T02:00:00Z</dcterms:created>
  <dc:creator>Administrator</dc:creator>
  <cp:lastModifiedBy>CYN</cp:lastModifiedBy>
  <dcterms:modified xsi:type="dcterms:W3CDTF">2021-11-09T02:35:29Z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A45C798CE1944B7F8E537BB0129D18E0</vt:lpwstr>
  </property>
</Properties>
</file>