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方正小标宋简体" w:hAnsi="方正小标宋简体" w:eastAsia="方正小标宋简体" w:cs="方正小标宋简体"/>
          <w:b/>
          <w:bCs w:val="0"/>
          <w:sz w:val="36"/>
          <w:szCs w:val="36"/>
          <w:u w:val="none"/>
          <w:lang w:val="en-US" w:eastAsia="zh-CN"/>
        </w:rPr>
      </w:pPr>
      <w:bookmarkStart w:id="0" w:name="_GoBack"/>
      <w:r>
        <w:rPr>
          <w:rFonts w:hint="eastAsia" w:ascii="方正小标宋简体" w:hAnsi="方正小标宋简体" w:eastAsia="方正小标宋简体" w:cs="方正小标宋简体"/>
          <w:b/>
          <w:bCs w:val="0"/>
          <w:sz w:val="36"/>
          <w:szCs w:val="36"/>
          <w:u w:val="none"/>
          <w:lang w:eastAsia="zh-CN"/>
        </w:rPr>
        <w:t>《</w:t>
      </w:r>
      <w:r>
        <w:rPr>
          <w:rFonts w:hint="eastAsia" w:ascii="方正小标宋简体" w:hAnsi="方正小标宋简体" w:eastAsia="方正小标宋简体" w:cs="方正小标宋简体"/>
          <w:b/>
          <w:bCs w:val="0"/>
          <w:sz w:val="36"/>
          <w:szCs w:val="36"/>
          <w:u w:val="none"/>
        </w:rPr>
        <w:t>经济类科研平台</w:t>
      </w:r>
      <w:r>
        <w:rPr>
          <w:rFonts w:hint="eastAsia" w:ascii="方正小标宋简体" w:hAnsi="方正小标宋简体" w:eastAsia="方正小标宋简体" w:cs="方正小标宋简体"/>
          <w:b/>
          <w:bCs w:val="0"/>
          <w:sz w:val="36"/>
          <w:szCs w:val="36"/>
          <w:u w:val="none"/>
          <w:lang w:eastAsia="zh-CN"/>
        </w:rPr>
        <w:t>》</w:t>
      </w:r>
      <w:r>
        <w:rPr>
          <w:rFonts w:hint="eastAsia" w:ascii="方正小标宋简体" w:hAnsi="方正小标宋简体" w:eastAsia="方正小标宋简体" w:cs="方正小标宋简体"/>
          <w:b/>
          <w:bCs w:val="0"/>
          <w:sz w:val="36"/>
          <w:szCs w:val="36"/>
          <w:u w:val="none"/>
        </w:rPr>
        <w:t>采购项目的主要内容及技术参数</w:t>
      </w:r>
    </w:p>
    <w:bookmarkEnd w:id="0"/>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一、总体要求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1</w:t>
      </w:r>
      <w:r>
        <w:rPr>
          <w:rFonts w:hint="eastAsia" w:ascii="宋体" w:hAnsi="宋体" w:eastAsia="宋体" w:cs="宋体"/>
          <w:b/>
          <w:sz w:val="28"/>
          <w:szCs w:val="28"/>
          <w:lang w:eastAsia="zh-CN"/>
        </w:rPr>
        <w:t>、</w:t>
      </w:r>
      <w:r>
        <w:rPr>
          <w:rFonts w:hint="eastAsia" w:ascii="宋体" w:hAnsi="宋体" w:eastAsia="宋体" w:cs="宋体"/>
          <w:sz w:val="28"/>
          <w:szCs w:val="28"/>
        </w:rPr>
        <w:t>根据《福建省教育厅办公室关于加快推进全省教育系统IPv6规模部署和应用的通知（闽教办科〔2021〕10号）》要求，所有采购的网络设备和软件系统都必须全面支持IPv6。</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2</w:t>
      </w:r>
      <w:r>
        <w:rPr>
          <w:rFonts w:hint="eastAsia" w:ascii="宋体" w:hAnsi="宋体" w:eastAsia="宋体" w:cs="宋体"/>
          <w:b/>
          <w:sz w:val="28"/>
          <w:szCs w:val="28"/>
          <w:lang w:eastAsia="zh-CN"/>
        </w:rPr>
        <w:t>、</w:t>
      </w:r>
      <w:r>
        <w:rPr>
          <w:rFonts w:hint="eastAsia" w:ascii="宋体" w:hAnsi="宋体" w:eastAsia="宋体" w:cs="宋体"/>
          <w:sz w:val="28"/>
          <w:szCs w:val="28"/>
        </w:rPr>
        <w:t>根据《福建省教育厅办公室转发福建省版权局关于印发&lt;福建省2021年推进使用正版化软件工作实施方案&gt;的通知（闽教办科〔2021〕8号）》要求，倡导新建信息系统要兼容国产操作系统软件、国产办公软件。因目前国产操作系统软件多数基于Linux内核，因特殊情况目前无法在Linux部署的系统，应承诺未来根据国家政策要求如期完成整改。</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3</w:t>
      </w:r>
      <w:r>
        <w:rPr>
          <w:rFonts w:hint="eastAsia" w:ascii="宋体" w:hAnsi="宋体" w:eastAsia="宋体" w:cs="宋体"/>
          <w:b/>
          <w:sz w:val="28"/>
          <w:szCs w:val="28"/>
          <w:lang w:eastAsia="zh-CN"/>
        </w:rPr>
        <w:t>、</w:t>
      </w:r>
      <w:r>
        <w:rPr>
          <w:rFonts w:hint="eastAsia" w:ascii="宋体" w:hAnsi="宋体" w:eastAsia="宋体" w:cs="宋体"/>
          <w:sz w:val="28"/>
          <w:szCs w:val="28"/>
        </w:rPr>
        <w:t>根据《中华人民共和国网络安全法》的网络安全等级保护制度要求，所有采购的软件系统都要通过校方组织的网络信息安全等级保护二级测评，其中涉及敏感信息的软件系统要求通过网络信息安全等级保护三级测评。要求此次采购的所有软件系统须配合等级保护测评工作要求，在测评之前必须对所有软件系统存在的漏洞或安全隐患进行整改修复。</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4</w:t>
      </w:r>
      <w:r>
        <w:rPr>
          <w:rFonts w:hint="eastAsia" w:ascii="宋体" w:hAnsi="宋体" w:eastAsia="宋体" w:cs="宋体"/>
          <w:b/>
          <w:sz w:val="28"/>
          <w:szCs w:val="28"/>
          <w:lang w:eastAsia="zh-CN"/>
        </w:rPr>
        <w:t>、</w:t>
      </w:r>
      <w:r>
        <w:rPr>
          <w:rFonts w:hint="eastAsia" w:ascii="宋体" w:hAnsi="宋体" w:eastAsia="宋体" w:cs="宋体"/>
          <w:sz w:val="28"/>
          <w:szCs w:val="28"/>
        </w:rPr>
        <w:t>因学校统一采用虚拟化平台部署方式，需要安装在学校服务器的软件系统要能在虚拟机或K8s集群的Docker容器中进行部署，软件授权方式不能采用硬件加密狗，软件授权须实现虚拟机或容器可在不同服务器主机集群中漂移。</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5</w:t>
      </w:r>
      <w:r>
        <w:rPr>
          <w:rFonts w:hint="eastAsia" w:ascii="宋体" w:hAnsi="宋体" w:eastAsia="宋体" w:cs="宋体"/>
          <w:b/>
          <w:sz w:val="28"/>
          <w:szCs w:val="28"/>
          <w:lang w:eastAsia="zh-CN"/>
        </w:rPr>
        <w:t>、</w:t>
      </w:r>
      <w:r>
        <w:rPr>
          <w:rFonts w:hint="eastAsia" w:ascii="宋体" w:hAnsi="宋体" w:eastAsia="宋体" w:cs="宋体"/>
          <w:sz w:val="28"/>
          <w:szCs w:val="28"/>
        </w:rPr>
        <w:t>所采购的软件系统必须能与我校智慧校园基础平台无缝集成，提供与学校融合信息门户平台、</w:t>
      </w:r>
      <w:r>
        <w:rPr>
          <w:rFonts w:hint="eastAsia" w:ascii="宋体" w:hAnsi="宋体" w:eastAsia="宋体" w:cs="宋体"/>
          <w:sz w:val="28"/>
          <w:szCs w:val="28"/>
          <w:lang w:val="en-US" w:eastAsia="zh-CN"/>
        </w:rPr>
        <w:t>公共数据</w:t>
      </w:r>
      <w:r>
        <w:rPr>
          <w:rFonts w:hint="eastAsia" w:ascii="宋体" w:hAnsi="宋体" w:eastAsia="宋体" w:cs="宋体"/>
          <w:sz w:val="28"/>
          <w:szCs w:val="28"/>
        </w:rPr>
        <w:t>平台、统一身份认证平台集成，以及其他应用软件系统接口的解决方案。在项目实施的过程中按照学校智慧校园基础平台的集成要求修改和实施技术方案。</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6</w:t>
      </w:r>
      <w:r>
        <w:rPr>
          <w:rFonts w:hint="eastAsia" w:ascii="宋体" w:hAnsi="宋体" w:eastAsia="宋体" w:cs="宋体"/>
          <w:b/>
          <w:sz w:val="28"/>
          <w:szCs w:val="28"/>
          <w:lang w:eastAsia="zh-CN"/>
        </w:rPr>
        <w:t>、</w:t>
      </w:r>
      <w:r>
        <w:rPr>
          <w:rFonts w:hint="eastAsia" w:ascii="宋体" w:hAnsi="宋体" w:eastAsia="宋体" w:cs="宋体"/>
          <w:sz w:val="28"/>
          <w:szCs w:val="28"/>
        </w:rPr>
        <w:t>提供</w:t>
      </w:r>
      <w:r>
        <w:rPr>
          <w:rFonts w:hint="eastAsia" w:ascii="宋体" w:hAnsi="宋体" w:eastAsia="宋体" w:cs="宋体"/>
          <w:sz w:val="28"/>
          <w:szCs w:val="28"/>
          <w:lang w:val="en-US" w:eastAsia="zh-CN"/>
        </w:rPr>
        <w:t>不少于</w:t>
      </w:r>
      <w:r>
        <w:rPr>
          <w:rFonts w:hint="eastAsia" w:ascii="宋体" w:hAnsi="宋体" w:eastAsia="宋体" w:cs="宋体"/>
          <w:sz w:val="28"/>
          <w:szCs w:val="28"/>
        </w:rPr>
        <w:t>三年免费维护和升级（同类软件不区分软件大小版本号）。</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二、模块要求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“一带一路”研究与决策支撑平台</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1、平台必须包含有关“一带一路”的报告、案例、法规、项目、园区、图表、指数、科技人文、数据、动态、规划方案、机构等12大栏目，并可以从国别和省市维度集中展现某一国家或省市的所有信息。</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平台须全面系统地整合“一带一路”沿线沿路国家和地区最新政经形势、投资环境、投资指南、项目机会、贸易与投资合作情况、风险评估报告、丝路战略研究报告、政策法规、行业发展（农业、能源、信息通信、制造业、服务业、科技人文等）等信息。</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平台须整合国内智库（如国务院发展研究中心等）的研究成果、政府部门（如商务部、外交部等）发布的权威报告，国际或区域性组织（如IMF、联合国、世界银行、国际清算银行、OECD、亚洲开发银行）、智库（如：兰德、布鲁金斯、彼得森等）、知名咨询公司（如麦肯锡等）的相关研究成果。</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4、平台须包含“一带一路”沿线至少125个国家和地区的1300多个经济社会发展指标自1970年以来的时间序列数据。</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5、平台须包括自1970年以来的各国人口构成、选举方式、执行方式、政府规模、贪腐程度、武力冲突、法治程度、政策执行、言论自由等九大领域的数百个指标。</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6、平台须涵盖2004-2019年190个经济体影响企业营商的10大类指标数据。</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7、平台须包含2005年至2020年投资额在1亿美元以上的约3200个大型投资项目和工程信息，数据涵盖13大行业。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8、平台须提供至少125个国家和地区自1962年以来按HS标准分类的7000多个商品的贸易数据（金额、数量、重量）。</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9、平台须包含可视化图表，采用先进的检索技术，可个性化定义查询条件。</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10、平台内容须覆盖“一带一路”沿线至少125个国家以及中国34个省、区、市，提供按国家和地区单独成库的功能。 </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11、历史存量要求：必须保证该数据库产品历史存量在21万篇及其以上；</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12、更新频率要求：平台须实行动态更新，月均更新量不低于2000篇。</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13、应采用超文本格式和通用的浏览器，以减少存储空间，方便阅读；</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14、平台内容应提供包含浏览-查询-下载等功能；</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b/>
          <w:sz w:val="28"/>
          <w:szCs w:val="28"/>
        </w:rPr>
      </w:pPr>
      <w:r>
        <w:rPr>
          <w:rFonts w:hint="eastAsia" w:ascii="宋体" w:hAnsi="宋体" w:eastAsia="宋体" w:cs="宋体"/>
          <w:sz w:val="28"/>
          <w:szCs w:val="28"/>
        </w:rPr>
        <w:t>15、应提供完备的检索功能，文献数据能够进行全文分词检索。</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经济·管理案例库</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1、案例内容须全面涵盖经济管理领域的教学课程、管理研究、管理决策等领域的重点案例、教学案例及教学案例研究素材资源，且具有一定比例的自有独家资源。</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适用教学范畴应覆盖公共管理和企业管理领域，能够按照学科分类进行对企业管理和公共管理过程中所存在的普遍性问题可以进行分析和指导。其中，企业管理的学科分类和行业分类不低于12个，公共管理的学科分类不低于8个，适用教学对象分类不低于3个。</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3、案例库产品内容应可追溯至1997年。</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4、历史存量要求：须保证该案例库历史存量在75000个及其以上。</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5、更新频率要求：必须保证该数据库每工作日更新，日更新量不少于20篇，年均更新量须在5000篇以上。</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6、更新维护要求：必须拥有固定的案例库编辑团队，对每年新增案例进行编辑整理收录，丰富案例库的学术资源；能够及时对系统进行维护管理，确保案例库系统的正常运行。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提供完备的检索功能：对于案例资源能够进行标题、作者、关键词、来源以及全文分词检索，涉及多维分类的案例能进行多维立体查询，并可根据教学知识点、学科分类、所属行业、所属国别、所属区域、案例格式等对资源进行搜索。</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8、提供可视化图表分析功能：针对全部案例资源能够依据国别分布、地区分布进行图表可视化分析，并可按照案例全文中研究领域关键词出现的频次实现自动聚类。</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9、提供用户权限管理功能：能够对案例库的用户群体加以细分，对教师身份的用户供专属的教学案例“使用说明”浏览权和下载权，同时支持富文本的呈现方式，为高校教师在课前准备教案时提供有的放矢的专业性参考。</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b/>
          <w:sz w:val="28"/>
          <w:szCs w:val="28"/>
        </w:rPr>
      </w:pPr>
      <w:r>
        <w:rPr>
          <w:rFonts w:hint="eastAsia" w:ascii="宋体" w:hAnsi="宋体" w:eastAsia="宋体" w:cs="宋体"/>
          <w:sz w:val="28"/>
          <w:szCs w:val="28"/>
        </w:rPr>
        <w:t>10、提供分享沟通反馈功能：每个案例均有“点赞”、“收藏”、“分享”和“评论”功能，具备顺畅的用户沟通反馈机制，并能够根据用户的浏览记录和习惯，为用户推荐相关案例，以期满足每个用户与众不同的个性化需求，要求案例之间能够互相关联，便于参考引用。通过相关案例，使用者可以对原案例进行补充完善，也可以对照使用，或者作为延伸阅读。</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国际贸易研究及决策支持系统</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国际贸易研究及决策支持系统》包含来自中国海关总署的、以中国为主体的、与各个贸易伙伴往来的、细化至八位编码商品的货物贸易月度数据；包含来自联合国统计署的、以各个经济体为主体的、与其各个贸易伙伴往来的、细化至六位编码商品的货物贸易月度数据和年度数据；以及世界服务贸易年度数据；另外新增贸易监测可视化数据，直观展示贸易概况、商品结构及贸易竞争；除此之外加入自动读取国别贸易分析报告。</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国际贸易研究及决策支持系统》的数据查询是以多维、立体的检索方式提供中国、世界等各国家的货物贸易、贸易指数、服务贸易数据。贸易监测提供深度挖掘、可视化展示国际贸易流量与流向、总量和结构的动态与趋势，引领国际贸易大数据研究并为国内外贸易研究提供数据支撑服务。</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3、数据查询数据库的内容包含中国货物贸易月度、世界货物贸易月度和年度、中国货物贸易指数月度、世界服务贸易年度数据库。</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中国货物贸易数据库提供了时间、流向、币制、商品、主体、伙伴、方式7个维度交叉查询；其中，商品维度包含22类、98章、1200多个四位码商品、8千多个八位码商品；伙伴维度包含250个左右国家和地区；地区维度包含全国和31个省自治区直辖市；方式维度包含总值和20种贸易方式；流向维度包含进出口、进口、出口；指标维度包含数量、金额。</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世界货物贸易数据库提供了时间、流向、币制、商品、主体、伙伴6个维度的交叉查询。其中商品维度包含按HS分类、按SITC分类、按BEC分类的商品；主体和伙伴维度包含250个左右国家和地区；流向维度包含进出口、进口、出口、再进口、再出口；指标维度包含数量、净重、金额。</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中国货物贸易指数数据库提供了时间、流向、商品行业、指标4个维度交叉查询；其中商品行业维度包含按HS分类、按SITC分类、按BEC分类的商品以及国民经济行业分类；流向维度包含进出口、进口、出口；指标维度包含价格指数同比、数量指数同比、价值指数同比；价格指数环比、数量指数环比、价值指数环比指数。</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世界服务贸易数据库提供了时间、流向、币制、服务、主体、伙伴6个维度的交叉查询。其中服务包含100多个类别；主体和伙伴维度包含250个左右国家和地区；流向维度包含进出口、进口、出口、再进口、再出口；指标维度包含金额。</w:t>
      </w:r>
    </w:p>
    <w:p>
      <w:pPr>
        <w:pStyle w:val="4"/>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b/>
          <w:sz w:val="28"/>
          <w:szCs w:val="28"/>
          <w:lang w:val="en-US" w:eastAsia="zh-CN"/>
        </w:rPr>
      </w:pPr>
      <w:r>
        <w:rPr>
          <w:rFonts w:hint="eastAsia" w:ascii="宋体" w:hAnsi="宋体" w:eastAsia="宋体" w:cs="宋体"/>
          <w:sz w:val="28"/>
          <w:szCs w:val="28"/>
        </w:rPr>
        <w:t>8、贸易监测数据库提供了贸易概况、商品结构、贸易竞争三个模块的内容。贸易概况包含国家贸易流向地图、出口或进口排行榜、贸易互补性指数；商品结构包含商品结构的方块图、出口或进口商品总额排行榜、贸易顺差或逆差的商品前10位排名；贸易竞争包含贸易竞争力指数、贸易竞争力指数前10国家排名及商品出口趋势图；多方位、多角度深度分析贸易研究的可视化直观展示。</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0000600000000000000"/>
    <w:charset w:val="86"/>
    <w:family w:val="auto"/>
    <w:pitch w:val="default"/>
    <w:sig w:usb0="800002BF" w:usb1="184F6CF8" w:usb2="00000012" w:usb3="00000000" w:csb0="00160001" w:csb1="1203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kZDVlYWNmYjdhYzIzNjQ5ZTVkNzhkNjFkMmUwOWYifQ=="/>
  </w:docVars>
  <w:rsids>
    <w:rsidRoot w:val="00000000"/>
    <w:rsid w:val="2D725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表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2022-07-05T13:25:45Z</dcterms:created>
  <dc:creator>acer</dc:creator>
  <cp:lastModifiedBy>acer</cp:lastModifiedBy>
  <dcterms:modified xsi:type="dcterms:W3CDTF">2022-07-05T13:27:39Z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014E38F287224A58AB9C47779E2FBE84</vt:lpwstr>
  </property>
</Properties>
</file>