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87" w:firstLineChars="700"/>
        <w:rPr>
          <w:rFonts w:hint="eastAsia" w:ascii="宋体" w:hAnsi="宋体" w:cs="宋体"/>
          <w:b/>
          <w:bCs/>
          <w:sz w:val="24"/>
        </w:rPr>
      </w:pPr>
      <w:r>
        <w:rPr>
          <w:rFonts w:hint="eastAsia" w:ascii="宋体" w:hAnsi="宋体" w:cs="宋体"/>
          <w:b/>
          <w:bCs/>
          <w:sz w:val="24"/>
        </w:rPr>
        <w:t>询价公告-福建商学院鼓楼校区会议室音响改造项目</w:t>
      </w:r>
    </w:p>
    <w:p>
      <w:pPr>
        <w:rPr>
          <w:rFonts w:hint="eastAsia" w:ascii="宋体" w:hAnsi="宋体" w:cs="宋体"/>
          <w:b/>
          <w:bCs/>
          <w:sz w:val="24"/>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项目名称：福建商学院鼓楼校区会议室音响改造项目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2、项目概况及采购内容：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cs="宋体"/>
          <w:sz w:val="24"/>
          <w:szCs w:val="24"/>
          <w:lang w:eastAsia="zh-CN"/>
        </w:rPr>
        <w:t>福建商学院鼓楼</w:t>
      </w:r>
      <w:r>
        <w:rPr>
          <w:rFonts w:hint="eastAsia" w:ascii="宋体" w:hAnsi="宋体" w:eastAsia="宋体" w:cs="宋体"/>
          <w:sz w:val="24"/>
          <w:szCs w:val="24"/>
        </w:rPr>
        <w:t>校区</w:t>
      </w:r>
      <w:r>
        <w:rPr>
          <w:rFonts w:hint="eastAsia" w:ascii="宋体" w:hAnsi="宋体" w:cs="宋体"/>
          <w:sz w:val="24"/>
          <w:szCs w:val="24"/>
          <w:lang w:eastAsia="zh-CN"/>
        </w:rPr>
        <w:t>会议室音响改造项目，具体改造内容详见附件（招标公告网页左下方附件链接下载）。</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项目预算：</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35"/>
        <w:gridCol w:w="2265"/>
        <w:gridCol w:w="1890"/>
        <w:gridCol w:w="845"/>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06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合同包</w:t>
            </w:r>
          </w:p>
        </w:tc>
        <w:tc>
          <w:tcPr>
            <w:tcW w:w="103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品目号</w:t>
            </w:r>
          </w:p>
        </w:tc>
        <w:tc>
          <w:tcPr>
            <w:tcW w:w="226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品目名称</w:t>
            </w:r>
          </w:p>
        </w:tc>
        <w:tc>
          <w:tcPr>
            <w:tcW w:w="1890"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主要参数要求</w:t>
            </w:r>
          </w:p>
        </w:tc>
        <w:tc>
          <w:tcPr>
            <w:tcW w:w="84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数量</w:t>
            </w:r>
          </w:p>
        </w:tc>
        <w:tc>
          <w:tcPr>
            <w:tcW w:w="1421"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最高限价</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预算金额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06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03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226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会议室音响改造</w:t>
            </w:r>
          </w:p>
        </w:tc>
        <w:tc>
          <w:tcPr>
            <w:tcW w:w="1890"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详见附件</w:t>
            </w:r>
          </w:p>
        </w:tc>
        <w:tc>
          <w:tcPr>
            <w:tcW w:w="84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1批</w:t>
            </w:r>
          </w:p>
        </w:tc>
        <w:tc>
          <w:tcPr>
            <w:tcW w:w="1421"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cs="宋体"/>
                <w:sz w:val="24"/>
                <w:szCs w:val="24"/>
                <w:lang w:val="en-US" w:eastAsia="zh-CN"/>
              </w:rPr>
              <w:t>13</w:t>
            </w:r>
            <w:r>
              <w:rPr>
                <w:rFonts w:hint="eastAsia" w:ascii="宋体" w:hAnsi="宋体" w:eastAsia="宋体" w:cs="宋体"/>
                <w:sz w:val="24"/>
                <w:szCs w:val="24"/>
              </w:rPr>
              <w:t>000元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总金额包含税收、产品、装卸、安装备件及材料、专用工具、安装、调试、人工、检验、运输和保险等项目相关的一切费用；投标按单价、总价报价，超过最高限价的投标无效</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、报价单位资格要求：须具备独立承担民事责任能力的中华人民共和国境内注册的法人，且有能力履行本项目所必须的设备和专业技术能力</w:t>
      </w:r>
      <w:r>
        <w:rPr>
          <w:rFonts w:hint="eastAsia" w:ascii="宋体" w:hAnsi="宋体" w:eastAsia="宋体" w:cs="宋体"/>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项目要求：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 xml:space="preserve">（1） </w:t>
      </w:r>
      <w:r>
        <w:rPr>
          <w:rFonts w:hint="eastAsia" w:ascii="宋体" w:hAnsi="宋体" w:eastAsia="宋体" w:cs="宋体"/>
          <w:sz w:val="24"/>
          <w:szCs w:val="24"/>
        </w:rPr>
        <w:t>中标人负责组织专业技术人员进行货物安装，保证各项安装工作顺利进行</w:t>
      </w:r>
      <w:r>
        <w:rPr>
          <w:rFonts w:hint="eastAsia" w:ascii="宋体" w:hAnsi="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2</w:t>
      </w:r>
      <w:r>
        <w:rPr>
          <w:rFonts w:hint="eastAsia" w:ascii="宋体" w:hAnsi="宋体" w:eastAsia="宋体" w:cs="宋体"/>
          <w:sz w:val="24"/>
          <w:szCs w:val="24"/>
        </w:rPr>
        <w:t>）改造过程不得影响其他物品、设备、装置、电路等一切原先存在且与改造无关的部分，如造成损坏由中标方负责；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3</w:t>
      </w:r>
      <w:r>
        <w:rPr>
          <w:rFonts w:hint="eastAsia" w:ascii="宋体" w:hAnsi="宋体" w:eastAsia="宋体" w:cs="宋体"/>
          <w:sz w:val="24"/>
          <w:szCs w:val="24"/>
        </w:rPr>
        <w:t>）改造过程中需做好相关安全措施，如发生一切安全问题由中标方自行负责。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6、技术参数及要求：详见附件（招标公告网页左下方附件链接下载）。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、质量要求和技术标准：所提供的货物必须是原厂生产的、全新的、未使用过的（包括零部件），并符合原厂质量检测标准（以说明书为准）和国家质量检测标准，且满足校方招标质量规格和性能要求。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cs="宋体"/>
          <w:sz w:val="24"/>
          <w:szCs w:val="24"/>
          <w:lang w:val="en-US" w:eastAsia="zh-CN"/>
        </w:rPr>
        <w:t>8</w:t>
      </w:r>
      <w:r>
        <w:rPr>
          <w:rFonts w:hint="eastAsia" w:ascii="宋体" w:hAnsi="宋体" w:eastAsia="宋体" w:cs="宋体"/>
          <w:sz w:val="24"/>
          <w:szCs w:val="24"/>
        </w:rPr>
        <w:t>、交货时间：合同签订后10天内</w:t>
      </w:r>
      <w:r>
        <w:rPr>
          <w:rFonts w:hint="eastAsia" w:ascii="宋体" w:hAnsi="宋体" w:cs="宋体"/>
          <w:sz w:val="24"/>
          <w:szCs w:val="24"/>
          <w:lang w:eastAsia="zh-CN"/>
        </w:rPr>
        <w:t>安装调试</w:t>
      </w:r>
      <w:r>
        <w:rPr>
          <w:rFonts w:hint="eastAsia" w:ascii="宋体" w:hAnsi="宋体" w:eastAsia="宋体" w:cs="宋体"/>
          <w:sz w:val="24"/>
          <w:szCs w:val="24"/>
        </w:rPr>
        <w:t>验收合格交付</w:t>
      </w:r>
      <w:r>
        <w:rPr>
          <w:rFonts w:hint="eastAsia" w:ascii="宋体" w:hAnsi="宋体" w:cs="宋体"/>
          <w:sz w:val="24"/>
          <w:szCs w:val="24"/>
          <w:lang w:eastAsia="zh-CN"/>
        </w:rPr>
        <w:t>正常</w:t>
      </w:r>
      <w:r>
        <w:rPr>
          <w:rFonts w:hint="eastAsia" w:ascii="宋体" w:hAnsi="宋体" w:eastAsia="宋体" w:cs="宋体"/>
          <w:sz w:val="24"/>
          <w:szCs w:val="24"/>
        </w:rPr>
        <w:t>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cs="宋体"/>
          <w:sz w:val="24"/>
          <w:szCs w:val="24"/>
          <w:lang w:val="en-US" w:eastAsia="zh-CN"/>
        </w:rPr>
        <w:t>9</w:t>
      </w:r>
      <w:r>
        <w:rPr>
          <w:rFonts w:hint="eastAsia" w:ascii="宋体" w:hAnsi="宋体" w:eastAsia="宋体" w:cs="宋体"/>
          <w:sz w:val="24"/>
          <w:szCs w:val="24"/>
        </w:rPr>
        <w:t>、交货地点：福建商学院</w:t>
      </w:r>
      <w:r>
        <w:rPr>
          <w:rFonts w:hint="eastAsia" w:ascii="宋体" w:hAnsi="宋体" w:cs="宋体"/>
          <w:sz w:val="24"/>
          <w:szCs w:val="24"/>
          <w:lang w:eastAsia="zh-CN"/>
        </w:rPr>
        <w:t>鼓楼</w:t>
      </w:r>
      <w:r>
        <w:rPr>
          <w:rFonts w:hint="eastAsia" w:ascii="宋体" w:hAnsi="宋体" w:eastAsia="宋体" w:cs="宋体"/>
          <w:sz w:val="24"/>
          <w:szCs w:val="24"/>
        </w:rPr>
        <w:t>校区；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0</w:t>
      </w:r>
      <w:r>
        <w:rPr>
          <w:rFonts w:hint="eastAsia" w:ascii="宋体" w:hAnsi="宋体" w:eastAsia="宋体" w:cs="宋体"/>
          <w:sz w:val="24"/>
          <w:szCs w:val="24"/>
        </w:rPr>
        <w:t>、售后服务承诺基本要求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保证所提供的货物是全新的、未使用过的原装品牌设备，在各个方面符合规定的质量、规格和性能要求。保证货物经过正确安装、合理操作和维护保养，在货物寿命期内运转良好。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质保期：</w:t>
      </w:r>
      <w:r>
        <w:rPr>
          <w:rFonts w:hint="eastAsia" w:ascii="宋体" w:hAnsi="宋体" w:eastAsia="宋体" w:cs="宋体"/>
          <w:sz w:val="24"/>
          <w:szCs w:val="24"/>
        </w:rPr>
        <w:t>货物安装调试验收合格交付正常使用之日起1年；供应商提供设备1年免费上门维修，长期维护。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维修服务的响应时间：所有设备提供1年免费上门维修，保修期内如有故障，接到电话后6小时内响应，48小时内维修到位。质保期后，供应商提供设备优惠维修服务。</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1</w:t>
      </w:r>
      <w:r>
        <w:rPr>
          <w:rFonts w:hint="eastAsia" w:ascii="宋体" w:hAnsi="宋体" w:eastAsia="宋体" w:cs="宋体"/>
          <w:sz w:val="24"/>
          <w:szCs w:val="24"/>
        </w:rPr>
        <w:t>、付款方式：</w:t>
      </w:r>
      <w:r>
        <w:rPr>
          <w:rFonts w:hint="eastAsia" w:ascii="宋体" w:hAnsi="宋体" w:eastAsia="宋体" w:cs="宋体"/>
          <w:b w:val="0"/>
          <w:bCs w:val="0"/>
          <w:color w:val="000000" w:themeColor="text1"/>
          <w:sz w:val="24"/>
          <w:szCs w:val="24"/>
          <w14:textFill>
            <w14:solidFill>
              <w14:schemeClr w14:val="tx1"/>
            </w14:solidFill>
          </w14:textFill>
        </w:rPr>
        <w:t>项目完成经验收合格</w:t>
      </w:r>
      <w:r>
        <w:rPr>
          <w:rFonts w:hint="eastAsia" w:ascii="宋体" w:hAnsi="宋体" w:cs="宋体"/>
          <w:b w:val="0"/>
          <w:bCs w:val="0"/>
          <w:color w:val="000000" w:themeColor="text1"/>
          <w:sz w:val="24"/>
          <w:szCs w:val="24"/>
          <w:lang w:eastAsia="zh-CN"/>
          <w14:textFill>
            <w14:solidFill>
              <w14:schemeClr w14:val="tx1"/>
            </w14:solidFill>
          </w14:textFill>
        </w:rPr>
        <w:t>交付正常使用</w:t>
      </w:r>
      <w:r>
        <w:rPr>
          <w:rFonts w:hint="eastAsia" w:ascii="宋体" w:hAnsi="宋体" w:eastAsia="宋体" w:cs="宋体"/>
          <w:b w:val="0"/>
          <w:bCs w:val="0"/>
          <w:color w:val="000000" w:themeColor="text1"/>
          <w:sz w:val="24"/>
          <w:szCs w:val="24"/>
          <w14:textFill>
            <w14:solidFill>
              <w14:schemeClr w14:val="tx1"/>
            </w14:solidFill>
          </w14:textFill>
        </w:rPr>
        <w:t>后，凭验收合格文件等材料以转账方式支付100%的货物价款。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2</w:t>
      </w:r>
      <w:r>
        <w:rPr>
          <w:rFonts w:hint="eastAsia" w:ascii="宋体" w:hAnsi="宋体" w:eastAsia="宋体" w:cs="宋体"/>
          <w:sz w:val="24"/>
          <w:szCs w:val="24"/>
        </w:rPr>
        <w:t>、验收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（1）提供完整的技术资料，包括：出厂检验报告和合格证书、使用说明书、设备安装调试资料、操作手册、维修手册及合同中要求的其他文件资料。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eastAsia="宋体" w:cs="宋体"/>
          <w:sz w:val="24"/>
          <w:szCs w:val="24"/>
        </w:rPr>
        <w:t>改造完成后根据询价文件及合同中所列清单与技术参数要求进行验收。项目交付正常使用后，由中标单位书面提出验收申请，经使用单位组织验收人员进行验收。验收结果经双方确认后，双方授权代表人必须按规定的验收交接单上的项目对照本合同填好验收结果并签名盖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请各报价单位按以上询价公告所有条款要求内容及附件清单</w:t>
      </w:r>
      <w:r>
        <w:rPr>
          <w:rFonts w:hint="eastAsia" w:ascii="宋体" w:hAnsi="宋体" w:eastAsia="宋体" w:cs="宋体"/>
          <w:sz w:val="24"/>
          <w:szCs w:val="24"/>
          <w:lang w:eastAsia="zh-CN"/>
        </w:rPr>
        <w:t>内容逐条</w:t>
      </w:r>
      <w:r>
        <w:rPr>
          <w:rFonts w:hint="eastAsia" w:ascii="宋体" w:hAnsi="宋体" w:eastAsia="宋体" w:cs="宋体"/>
          <w:sz w:val="24"/>
          <w:szCs w:val="24"/>
        </w:rPr>
        <w:t>响应提交承诺函、报价表（按单价、总价报价）、营业执照、资格证书等相关证明材料复印件，并加盖公章。于2021年</w:t>
      </w:r>
      <w:r>
        <w:rPr>
          <w:rFonts w:hint="eastAsia" w:ascii="宋体" w:hAnsi="宋体" w:cs="宋体"/>
          <w:sz w:val="24"/>
          <w:szCs w:val="24"/>
          <w:lang w:val="en-US" w:eastAsia="zh-CN"/>
        </w:rPr>
        <w:t>6</w:t>
      </w:r>
      <w:r>
        <w:rPr>
          <w:rFonts w:hint="eastAsia" w:ascii="宋体" w:hAnsi="宋体" w:eastAsia="宋体" w:cs="宋体"/>
          <w:sz w:val="24"/>
          <w:szCs w:val="24"/>
        </w:rPr>
        <w:t>月</w:t>
      </w:r>
      <w:r>
        <w:rPr>
          <w:rFonts w:hint="eastAsia" w:ascii="宋体" w:hAnsi="宋体" w:cs="宋体"/>
          <w:sz w:val="24"/>
          <w:szCs w:val="24"/>
          <w:lang w:val="en-US" w:eastAsia="zh-CN"/>
        </w:rPr>
        <w:t>21</w:t>
      </w:r>
      <w:bookmarkStart w:id="0" w:name="_GoBack"/>
      <w:bookmarkEnd w:id="0"/>
      <w:r>
        <w:rPr>
          <w:rFonts w:hint="eastAsia" w:ascii="宋体" w:hAnsi="宋体" w:eastAsia="宋体" w:cs="宋体"/>
          <w:sz w:val="24"/>
          <w:szCs w:val="24"/>
        </w:rPr>
        <w:t>日下午16：00前准时将项目报价文件及资格证明材料密封后以顺丰快递的方式快递送达至福州市连江县潘渡乡连潘路2号福建商学院连江校区320室，联系人：陈老师，电话：18649812225。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6720" w:hanging="6720" w:hangingChars="2800"/>
        <w:textAlignment w:val="auto"/>
        <w:rPr>
          <w:rFonts w:hint="eastAsia" w:ascii="宋体" w:hAnsi="宋体" w:eastAsia="宋体" w:cs="宋体"/>
          <w:sz w:val="24"/>
          <w:szCs w:val="24"/>
        </w:rPr>
      </w:pPr>
      <w:r>
        <w:rPr>
          <w:rFonts w:hint="eastAsia" w:ascii="宋体" w:hAnsi="宋体" w:eastAsia="宋体" w:cs="宋体"/>
          <w:sz w:val="24"/>
          <w:szCs w:val="24"/>
        </w:rPr>
        <w:t xml:space="preserve">                                                        福建商学院</w:t>
      </w:r>
    </w:p>
    <w:p>
      <w:pPr>
        <w:keepNext w:val="0"/>
        <w:keepLines w:val="0"/>
        <w:pageBreakBefore w:val="0"/>
        <w:widowControl w:val="0"/>
        <w:kinsoku/>
        <w:wordWrap/>
        <w:overflowPunct/>
        <w:topLinePunct w:val="0"/>
        <w:autoSpaceDE/>
        <w:autoSpaceDN/>
        <w:bidi w:val="0"/>
        <w:adjustRightInd/>
        <w:snapToGrid/>
        <w:spacing w:line="360" w:lineRule="auto"/>
        <w:ind w:left="6704" w:leftChars="2964" w:hanging="480" w:hangingChars="200"/>
        <w:textAlignment w:val="auto"/>
        <w:rPr>
          <w:rFonts w:hint="eastAsia" w:ascii="宋体" w:hAnsi="宋体" w:eastAsia="宋体" w:cs="宋体"/>
          <w:sz w:val="24"/>
          <w:szCs w:val="24"/>
        </w:rPr>
      </w:pPr>
      <w:r>
        <w:rPr>
          <w:rFonts w:hint="eastAsia" w:ascii="宋体" w:hAnsi="宋体" w:eastAsia="宋体" w:cs="宋体"/>
          <w:sz w:val="24"/>
          <w:szCs w:val="24"/>
        </w:rPr>
        <w:t>2021年</w:t>
      </w:r>
      <w:r>
        <w:rPr>
          <w:rFonts w:hint="eastAsia" w:ascii="宋体" w:hAnsi="宋体" w:cs="宋体"/>
          <w:sz w:val="24"/>
          <w:szCs w:val="24"/>
          <w:lang w:val="en-US" w:eastAsia="zh-CN"/>
        </w:rPr>
        <w:t>6</w:t>
      </w:r>
      <w:r>
        <w:rPr>
          <w:rFonts w:hint="eastAsia" w:ascii="宋体" w:hAnsi="宋体" w:eastAsia="宋体" w:cs="宋体"/>
          <w:sz w:val="24"/>
          <w:szCs w:val="24"/>
        </w:rPr>
        <w:t>月</w:t>
      </w:r>
      <w:r>
        <w:rPr>
          <w:rFonts w:hint="eastAsia" w:ascii="宋体" w:hAnsi="宋体" w:cs="宋体"/>
          <w:sz w:val="24"/>
          <w:szCs w:val="24"/>
          <w:lang w:val="en-US" w:eastAsia="zh-CN"/>
        </w:rPr>
        <w:t>15</w:t>
      </w:r>
      <w:r>
        <w:rPr>
          <w:rFonts w:hint="eastAsia" w:ascii="宋体" w:hAnsi="宋体" w:eastAsia="宋体" w:cs="宋体"/>
          <w:sz w:val="24"/>
          <w:szCs w:val="24"/>
        </w:rPr>
        <w:t>日</w:t>
      </w:r>
    </w:p>
    <w:p>
      <w:pPr>
        <w:spacing w:line="360" w:lineRule="auto"/>
        <w:rPr>
          <w:rFonts w:hint="eastAsia" w:ascii="宋体" w:hAnsi="宋体" w:cs="宋体"/>
          <w:sz w:val="24"/>
          <w:lang w:eastAsia="zh-CN"/>
        </w:rPr>
      </w:pPr>
    </w:p>
    <w:p>
      <w:pPr>
        <w:spacing w:line="360" w:lineRule="auto"/>
        <w:rPr>
          <w:rFonts w:hint="eastAsia" w:ascii="宋体" w:hAnsi="宋体" w:cs="宋体"/>
          <w:sz w:val="24"/>
          <w:lang w:eastAsia="zh-CN"/>
        </w:rPr>
      </w:pPr>
    </w:p>
    <w:p>
      <w:pPr>
        <w:spacing w:line="360" w:lineRule="auto"/>
        <w:rPr>
          <w:rFonts w:hint="eastAsia" w:ascii="宋体" w:hAnsi="宋体" w:cs="宋体"/>
          <w:sz w:val="24"/>
          <w:lang w:eastAsia="zh-CN"/>
        </w:rPr>
      </w:pPr>
    </w:p>
    <w:p>
      <w:pPr>
        <w:spacing w:line="360" w:lineRule="auto"/>
        <w:rPr>
          <w:rFonts w:hint="eastAsia" w:ascii="宋体" w:hAnsi="宋体" w:cs="宋体"/>
          <w:sz w:val="24"/>
          <w:lang w:eastAsia="zh-CN"/>
        </w:rPr>
      </w:pPr>
    </w:p>
    <w:p>
      <w:pPr>
        <w:spacing w:line="360" w:lineRule="auto"/>
        <w:rPr>
          <w:rFonts w:hint="eastAsia" w:ascii="宋体" w:hAnsi="宋体" w:cs="宋体"/>
          <w:sz w:val="24"/>
          <w:lang w:eastAsia="zh-CN"/>
        </w:rPr>
      </w:pPr>
    </w:p>
    <w:p>
      <w:pPr>
        <w:spacing w:line="360" w:lineRule="auto"/>
        <w:rPr>
          <w:rFonts w:hint="eastAsia" w:ascii="宋体" w:hAnsi="宋体" w:cs="宋体"/>
          <w:sz w:val="24"/>
          <w:lang w:eastAsia="zh-CN"/>
        </w:rPr>
      </w:pPr>
    </w:p>
    <w:p>
      <w:pPr>
        <w:spacing w:line="360" w:lineRule="auto"/>
        <w:rPr>
          <w:rFonts w:hint="default" w:ascii="宋体" w:hAnsi="宋体" w:eastAsia="宋体" w:cs="宋体"/>
          <w:sz w:val="24"/>
          <w:lang w:val="en-US" w:eastAsia="zh-CN"/>
        </w:rPr>
      </w:pPr>
      <w:r>
        <w:rPr>
          <w:rFonts w:hint="eastAsia" w:ascii="宋体" w:hAnsi="宋体" w:cs="宋体"/>
          <w:sz w:val="24"/>
          <w:lang w:eastAsia="zh-CN"/>
        </w:rPr>
        <w:t>附件</w:t>
      </w:r>
      <w:r>
        <w:rPr>
          <w:rFonts w:hint="eastAsia" w:ascii="宋体" w:hAnsi="宋体" w:cs="宋体"/>
          <w:sz w:val="24"/>
          <w:lang w:val="en-US" w:eastAsia="zh-CN"/>
        </w:rPr>
        <w:t>1：技术参数及要求：</w:t>
      </w:r>
    </w:p>
    <w:p>
      <w:pPr>
        <w:spacing w:line="360" w:lineRule="auto"/>
        <w:rPr>
          <w:rFonts w:hint="eastAsia" w:ascii="宋体" w:hAnsi="宋体" w:cs="宋体"/>
          <w:sz w:val="24"/>
          <w:lang w:eastAsia="zh-CN"/>
        </w:rPr>
      </w:pPr>
    </w:p>
    <w:p>
      <w:pPr>
        <w:spacing w:line="360" w:lineRule="auto"/>
        <w:rPr>
          <w:rFonts w:hint="eastAsia" w:ascii="宋体" w:hAnsi="宋体" w:cs="宋体"/>
          <w:sz w:val="24"/>
          <w:lang w:eastAsia="zh-CN"/>
        </w:rPr>
      </w:pPr>
    </w:p>
    <w:tbl>
      <w:tblPr>
        <w:tblStyle w:val="4"/>
        <w:tblpPr w:leftFromText="180" w:rightFromText="180" w:vertAnchor="page" w:horzAnchor="page" w:tblpX="2014" w:tblpY="2475"/>
        <w:tblW w:w="8046" w:type="dxa"/>
        <w:tblInd w:w="0" w:type="dxa"/>
        <w:tblLayout w:type="autofit"/>
        <w:tblCellMar>
          <w:top w:w="0" w:type="dxa"/>
          <w:left w:w="108" w:type="dxa"/>
          <w:bottom w:w="0" w:type="dxa"/>
          <w:right w:w="108" w:type="dxa"/>
        </w:tblCellMar>
      </w:tblPr>
      <w:tblGrid>
        <w:gridCol w:w="992"/>
        <w:gridCol w:w="5212"/>
        <w:gridCol w:w="850"/>
        <w:gridCol w:w="992"/>
      </w:tblGrid>
      <w:tr>
        <w:tblPrEx>
          <w:tblCellMar>
            <w:top w:w="0" w:type="dxa"/>
            <w:left w:w="108" w:type="dxa"/>
            <w:bottom w:w="0" w:type="dxa"/>
            <w:right w:w="108" w:type="dxa"/>
          </w:tblCellMar>
        </w:tblPrEx>
        <w:trPr>
          <w:trHeight w:val="270"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名  称</w:t>
            </w:r>
          </w:p>
        </w:tc>
        <w:tc>
          <w:tcPr>
            <w:tcW w:w="521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规    格</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数量</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单位</w:t>
            </w:r>
          </w:p>
        </w:tc>
      </w:tr>
      <w:tr>
        <w:tblPrEx>
          <w:tblCellMar>
            <w:top w:w="0" w:type="dxa"/>
            <w:left w:w="108" w:type="dxa"/>
            <w:bottom w:w="0" w:type="dxa"/>
            <w:right w:w="108" w:type="dxa"/>
          </w:tblCellMar>
        </w:tblPrEx>
        <w:trPr>
          <w:trHeight w:val="2430"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手拉手数字会议主控机</w:t>
            </w:r>
          </w:p>
        </w:tc>
        <w:tc>
          <w:tcPr>
            <w:tcW w:w="521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18"/>
                <w:szCs w:val="18"/>
              </w:rPr>
            </w:pPr>
            <w:r>
              <w:rPr>
                <w:rFonts w:hint="eastAsia" w:asciiTheme="minorEastAsia" w:hAnsiTheme="minorEastAsia"/>
                <w:color w:val="000000"/>
                <w:sz w:val="18"/>
                <w:szCs w:val="18"/>
              </w:rPr>
              <w:t xml:space="preserve">    主控机与会议单元连接之数字控制、供电及声音信号采用同一电缆传送（八芯）</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 可独立运作或外接电脑结合软件及其他外接设备同步联动操作，可实现电脑管理功能（模式或操作：自由发言、先进先出等等，并能将会议内容及表决选举结果投影到会场）</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 单机可实现下列会议功能：开放式会议、先进先出限制发言</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可选择同时发言之麦克风支数1-9支（含）</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具有四个主缆端子可连接60组会议单元，并具负载及短路保护功能，增加扩展设备可实现250台会议单元同时使用</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台</w:t>
            </w:r>
          </w:p>
        </w:tc>
      </w:tr>
      <w:tr>
        <w:tblPrEx>
          <w:tblCellMar>
            <w:top w:w="0" w:type="dxa"/>
            <w:left w:w="108" w:type="dxa"/>
            <w:bottom w:w="0" w:type="dxa"/>
            <w:right w:w="108" w:type="dxa"/>
          </w:tblCellMar>
        </w:tblPrEx>
        <w:trPr>
          <w:trHeight w:val="3510"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主席单元</w:t>
            </w:r>
          </w:p>
        </w:tc>
        <w:tc>
          <w:tcPr>
            <w:tcW w:w="521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18"/>
                <w:szCs w:val="18"/>
              </w:rPr>
            </w:pPr>
            <w:r>
              <w:rPr>
                <w:rFonts w:hint="eastAsia" w:asciiTheme="minorEastAsia" w:hAnsiTheme="minorEastAsia"/>
                <w:color w:val="000000"/>
                <w:sz w:val="18"/>
                <w:szCs w:val="18"/>
              </w:rPr>
              <w:t>单指向，具防气爆音功能，配有防风防护罩</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具主席优先控制按键，可启动系统提示音提醒出席人员注意，可设永久终止或暂停终止所有发言代表麦克风的发言状态</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系统中主席单元数量不受限制，并可置于回路中任意位置</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系统中主席单元不受限制功能的限制</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可绕式电容麦克风杆，并具有发言指示光环</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单元由系统主机供电，输入电压18V属安全范围</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具有自动机功能，开启的麦克风在没有拾音的状态下（拾音范围内音低于50dB时）45秒将自动关闭</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单元采用8芯线“T”型连接</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频率响应：100Hz—16KHz</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灵敏度：≥—44dB±2dB</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参考讲话距离：15-50cm</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支</w:t>
            </w:r>
          </w:p>
        </w:tc>
      </w:tr>
      <w:tr>
        <w:tblPrEx>
          <w:tblCellMar>
            <w:top w:w="0" w:type="dxa"/>
            <w:left w:w="108" w:type="dxa"/>
            <w:bottom w:w="0" w:type="dxa"/>
            <w:right w:w="108" w:type="dxa"/>
          </w:tblCellMar>
        </w:tblPrEx>
        <w:trPr>
          <w:trHeight w:val="2700"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代表单元</w:t>
            </w:r>
          </w:p>
        </w:tc>
        <w:tc>
          <w:tcPr>
            <w:tcW w:w="521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18"/>
                <w:szCs w:val="18"/>
              </w:rPr>
            </w:pPr>
            <w:r>
              <w:rPr>
                <w:rFonts w:hint="eastAsia" w:asciiTheme="minorEastAsia" w:hAnsiTheme="minorEastAsia"/>
                <w:color w:val="000000"/>
                <w:sz w:val="18"/>
                <w:szCs w:val="18"/>
              </w:rPr>
              <w:t>单指向，具防气爆音功能，配有防风防护罩</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系统中主席单元不受限制功能的限制</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可绕式电容麦克风杆，并具有发言指示光环</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单元由系统主机供电，输入电压18V属安全范围</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具有自动机功能，开启的麦克风在没有拾音的状态下（拾音范围内音低于50dB时）45秒将自动关闭</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单元采用8芯线“T”型连接</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频率响应：100Hz—16KHz</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灵敏度：≥—44dB±2dB</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参考讲话距离：15-50cm</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7</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支</w:t>
            </w:r>
          </w:p>
        </w:tc>
      </w:tr>
      <w:tr>
        <w:tblPrEx>
          <w:tblCellMar>
            <w:top w:w="0" w:type="dxa"/>
            <w:left w:w="108" w:type="dxa"/>
            <w:bottom w:w="0" w:type="dxa"/>
            <w:right w:w="108" w:type="dxa"/>
          </w:tblCellMar>
        </w:tblPrEx>
        <w:trPr>
          <w:trHeight w:val="1080"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会议音频处理器</w:t>
            </w:r>
          </w:p>
        </w:tc>
        <w:tc>
          <w:tcPr>
            <w:tcW w:w="521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18"/>
                <w:szCs w:val="18"/>
              </w:rPr>
            </w:pPr>
            <w:r>
              <w:rPr>
                <w:rFonts w:hint="eastAsia" w:asciiTheme="minorEastAsia" w:hAnsiTheme="minorEastAsia"/>
                <w:color w:val="000000"/>
                <w:sz w:val="18"/>
                <w:szCs w:val="18"/>
              </w:rPr>
              <w:t>1.存储：≥60个预置效果(30个出厂预设,30个用户自定义预设)</w:t>
            </w:r>
            <w:r>
              <w:rPr>
                <w:rFonts w:hint="eastAsia" w:asciiTheme="minorEastAsia" w:hAnsiTheme="minorEastAsia"/>
                <w:color w:val="000000"/>
                <w:sz w:val="18"/>
                <w:szCs w:val="18"/>
              </w:rPr>
              <w:br w:type="textWrapping"/>
            </w:r>
            <w:r>
              <w:rPr>
                <w:rFonts w:hint="eastAsia" w:asciiTheme="minorEastAsia" w:hAnsiTheme="minorEastAsia"/>
                <w:color w:val="000000"/>
                <w:sz w:val="18"/>
                <w:szCs w:val="18"/>
              </w:rPr>
              <w:t>2.输入接口：≥3路麦克风前置放大输入,3路同步切换音/视频的复合视频输入</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台</w:t>
            </w:r>
          </w:p>
        </w:tc>
      </w:tr>
      <w:tr>
        <w:tblPrEx>
          <w:tblCellMar>
            <w:top w:w="0" w:type="dxa"/>
            <w:left w:w="108" w:type="dxa"/>
            <w:bottom w:w="0" w:type="dxa"/>
            <w:right w:w="108" w:type="dxa"/>
          </w:tblCellMar>
        </w:tblPrEx>
        <w:trPr>
          <w:trHeight w:val="3780"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专业功放</w:t>
            </w:r>
          </w:p>
        </w:tc>
        <w:tc>
          <w:tcPr>
            <w:tcW w:w="521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sz w:val="18"/>
                <w:szCs w:val="18"/>
              </w:rPr>
            </w:pPr>
            <w:r>
              <w:rPr>
                <w:rFonts w:hint="eastAsia" w:asciiTheme="minorEastAsia" w:hAnsiTheme="minorEastAsia"/>
                <w:sz w:val="18"/>
                <w:szCs w:val="18"/>
              </w:rPr>
              <w:t>8Ω双通道(每声道)≥ 675W</w:t>
            </w:r>
            <w:r>
              <w:rPr>
                <w:rFonts w:hint="eastAsia" w:asciiTheme="minorEastAsia" w:hAnsiTheme="minorEastAsia"/>
                <w:sz w:val="18"/>
                <w:szCs w:val="18"/>
              </w:rPr>
              <w:br w:type="textWrapping"/>
            </w:r>
            <w:r>
              <w:rPr>
                <w:rFonts w:hint="eastAsia" w:asciiTheme="minorEastAsia" w:hAnsiTheme="minorEastAsia"/>
                <w:sz w:val="18"/>
                <w:szCs w:val="18"/>
              </w:rPr>
              <w:t xml:space="preserve">4Ω双通道(每声道) ≥1000W     </w:t>
            </w:r>
            <w:r>
              <w:rPr>
                <w:rFonts w:hint="eastAsia" w:asciiTheme="minorEastAsia" w:hAnsiTheme="minorEastAsia"/>
                <w:sz w:val="18"/>
                <w:szCs w:val="18"/>
              </w:rPr>
              <w:br w:type="textWrapping"/>
            </w:r>
            <w:r>
              <w:rPr>
                <w:rFonts w:hint="eastAsia" w:asciiTheme="minorEastAsia" w:hAnsiTheme="minorEastAsia"/>
                <w:sz w:val="18"/>
                <w:szCs w:val="18"/>
              </w:rPr>
              <w:t>8Ω桥接≥ 2000W </w:t>
            </w:r>
            <w:r>
              <w:rPr>
                <w:rFonts w:hint="eastAsia" w:asciiTheme="minorEastAsia" w:hAnsiTheme="minorEastAsia"/>
                <w:sz w:val="18"/>
                <w:szCs w:val="18"/>
              </w:rPr>
              <w:br w:type="textWrapping"/>
            </w:r>
            <w:r>
              <w:rPr>
                <w:rFonts w:hint="eastAsia" w:asciiTheme="minorEastAsia" w:hAnsiTheme="minorEastAsia"/>
                <w:sz w:val="18"/>
                <w:szCs w:val="18"/>
              </w:rPr>
              <w:t>用户可选择的输入灵敏度：≥0.775V 和 ≥1.4V</w:t>
            </w:r>
            <w:r>
              <w:rPr>
                <w:rFonts w:hint="eastAsia" w:asciiTheme="minorEastAsia" w:hAnsiTheme="minorEastAsia"/>
                <w:sz w:val="18"/>
                <w:szCs w:val="18"/>
              </w:rPr>
              <w:br w:type="textWrapping"/>
            </w:r>
            <w:r>
              <w:rPr>
                <w:rFonts w:hint="eastAsia" w:asciiTheme="minorEastAsia" w:hAnsiTheme="minorEastAsia"/>
                <w:sz w:val="18"/>
                <w:szCs w:val="18"/>
              </w:rPr>
              <w:t xml:space="preserve">桥接/并联/立体声转换开关 </w:t>
            </w:r>
            <w:r>
              <w:rPr>
                <w:rFonts w:hint="eastAsia" w:asciiTheme="minorEastAsia" w:hAnsiTheme="minorEastAsia"/>
                <w:sz w:val="18"/>
                <w:szCs w:val="18"/>
              </w:rPr>
              <w:br w:type="textWrapping"/>
            </w:r>
            <w:r>
              <w:rPr>
                <w:rFonts w:hint="eastAsia" w:asciiTheme="minorEastAsia" w:hAnsiTheme="minorEastAsia"/>
                <w:sz w:val="18"/>
                <w:szCs w:val="18"/>
              </w:rPr>
              <w:t>经典保护电路，防止短路、空载、开/关机噪音、射频干扰保护电路</w:t>
            </w:r>
            <w:r>
              <w:rPr>
                <w:rFonts w:hint="eastAsia" w:asciiTheme="minorEastAsia" w:hAnsiTheme="minorEastAsia"/>
                <w:sz w:val="18"/>
                <w:szCs w:val="18"/>
              </w:rPr>
              <w:br w:type="textWrapping"/>
            </w:r>
            <w:r>
              <w:rPr>
                <w:rFonts w:hint="eastAsia" w:asciiTheme="minorEastAsia" w:hAnsiTheme="minorEastAsia"/>
                <w:sz w:val="18"/>
                <w:szCs w:val="18"/>
              </w:rPr>
              <w:t>频率响应(1W)：20Hz - 20kHz, +0/-1d</w:t>
            </w:r>
            <w:r>
              <w:rPr>
                <w:rFonts w:hint="eastAsia" w:asciiTheme="minorEastAsia" w:hAnsiTheme="minorEastAsia"/>
                <w:sz w:val="18"/>
                <w:szCs w:val="18"/>
              </w:rPr>
              <w:br w:type="textWrapping"/>
            </w:r>
            <w:r>
              <w:rPr>
                <w:rFonts w:hint="eastAsia" w:asciiTheme="minorEastAsia" w:hAnsiTheme="minorEastAsia"/>
                <w:sz w:val="18"/>
                <w:szCs w:val="18"/>
              </w:rPr>
              <w:t>总谐波失真 (THD)：≤0.5%, 20 Hz - 20 kHz</w:t>
            </w:r>
            <w:r>
              <w:rPr>
                <w:rFonts w:hint="eastAsia" w:asciiTheme="minorEastAsia" w:hAnsiTheme="minorEastAsia"/>
                <w:sz w:val="18"/>
                <w:szCs w:val="18"/>
              </w:rPr>
              <w:br w:type="textWrapping"/>
            </w:r>
            <w:r>
              <w:rPr>
                <w:rFonts w:hint="eastAsia" w:asciiTheme="minorEastAsia" w:hAnsiTheme="minorEastAsia"/>
                <w:sz w:val="18"/>
                <w:szCs w:val="18"/>
              </w:rPr>
              <w:t>阻尼系数(8ohms), 10Hz - 400Hz ：≥200</w:t>
            </w:r>
            <w:r>
              <w:rPr>
                <w:rFonts w:hint="eastAsia" w:asciiTheme="minorEastAsia" w:hAnsiTheme="minorEastAsia"/>
                <w:sz w:val="18"/>
                <w:szCs w:val="18"/>
              </w:rPr>
              <w:br w:type="textWrapping"/>
            </w:r>
            <w:r>
              <w:rPr>
                <w:rFonts w:hint="eastAsia" w:asciiTheme="minorEastAsia" w:hAnsiTheme="minorEastAsia"/>
                <w:sz w:val="18"/>
                <w:szCs w:val="18"/>
              </w:rPr>
              <w:t>信噪比 (以额定输出功率为参考,20Hz - 20kHz, A计权)：≥100 dB</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台</w:t>
            </w:r>
          </w:p>
        </w:tc>
      </w:tr>
      <w:tr>
        <w:tblPrEx>
          <w:tblCellMar>
            <w:top w:w="0" w:type="dxa"/>
            <w:left w:w="108" w:type="dxa"/>
            <w:bottom w:w="0" w:type="dxa"/>
            <w:right w:w="108" w:type="dxa"/>
          </w:tblCellMar>
        </w:tblPrEx>
        <w:trPr>
          <w:trHeight w:val="285"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线材及配件</w:t>
            </w:r>
          </w:p>
        </w:tc>
        <w:tc>
          <w:tcPr>
            <w:tcW w:w="52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HDMI转VGA转换头</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项</w:t>
            </w:r>
          </w:p>
        </w:tc>
      </w:tr>
    </w:tbl>
    <w:p>
      <w:pPr>
        <w:spacing w:line="360" w:lineRule="auto"/>
        <w:rPr>
          <w:rFonts w:hint="eastAsia" w:ascii="宋体" w:hAnsi="宋体" w:cs="宋体"/>
          <w:sz w:val="24"/>
          <w:lang w:eastAsia="zh-CN"/>
        </w:rPr>
      </w:pPr>
    </w:p>
    <w:p>
      <w:pPr>
        <w:spacing w:line="360" w:lineRule="auto"/>
        <w:rPr>
          <w:rFonts w:hint="eastAsia" w:ascii="宋体" w:hAnsi="宋体" w:cs="宋体"/>
          <w:sz w:val="24"/>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p/>
    <w:p/>
    <w:p>
      <w:pPr>
        <w:widowControl/>
        <w:shd w:val="clear" w:color="auto" w:fill="FFFFFF"/>
        <w:adjustRightInd w:val="0"/>
        <w:snapToGrid w:val="0"/>
        <w:spacing w:line="360" w:lineRule="auto"/>
        <w:jc w:val="left"/>
        <w:rPr>
          <w:rFonts w:hint="eastAsia" w:ascii="宋体" w:hAnsi="宋体" w:cs="宋体"/>
          <w:color w:val="3A3A3A"/>
          <w:kern w:val="0"/>
          <w:sz w:val="24"/>
          <w:szCs w:val="24"/>
        </w:rPr>
      </w:pPr>
      <w:r>
        <w:rPr>
          <w:rFonts w:hint="eastAsia" w:ascii="宋体" w:hAnsi="宋体" w:cs="宋体"/>
          <w:color w:val="3A3A3A"/>
          <w:kern w:val="0"/>
          <w:sz w:val="24"/>
          <w:szCs w:val="24"/>
        </w:rPr>
        <w:t>附件2：报价文件参考格式</w:t>
      </w:r>
    </w:p>
    <w:p>
      <w:pPr>
        <w:widowControl/>
        <w:shd w:val="clear" w:color="auto" w:fill="FFFFFF"/>
        <w:adjustRightInd w:val="0"/>
        <w:snapToGrid w:val="0"/>
        <w:spacing w:line="360" w:lineRule="auto"/>
        <w:jc w:val="left"/>
        <w:rPr>
          <w:rFonts w:hint="eastAsia" w:ascii="宋体" w:hAnsi="宋体" w:cs="宋体"/>
          <w:color w:val="3A3A3A"/>
          <w:kern w:val="0"/>
          <w:sz w:val="24"/>
          <w:szCs w:val="24"/>
        </w:rPr>
      </w:pPr>
    </w:p>
    <w:p>
      <w:pPr>
        <w:widowControl/>
        <w:shd w:val="clear" w:color="auto" w:fill="FFFFFF"/>
        <w:adjustRightInd w:val="0"/>
        <w:snapToGrid w:val="0"/>
        <w:spacing w:line="480" w:lineRule="auto"/>
        <w:ind w:firstLine="3480" w:firstLineChars="1450"/>
        <w:jc w:val="left"/>
        <w:rPr>
          <w:rFonts w:ascii="宋体" w:hAnsi="宋体"/>
          <w:sz w:val="24"/>
          <w:szCs w:val="24"/>
        </w:rPr>
      </w:pPr>
      <w:r>
        <w:rPr>
          <w:rFonts w:hint="eastAsia" w:ascii="宋体" w:hAnsi="宋体"/>
          <w:sz w:val="24"/>
          <w:szCs w:val="24"/>
        </w:rPr>
        <w:t>报价文件</w:t>
      </w:r>
    </w:p>
    <w:p>
      <w:pPr>
        <w:widowControl/>
        <w:shd w:val="clear" w:color="auto" w:fill="FFFFFF"/>
        <w:adjustRightInd w:val="0"/>
        <w:snapToGrid w:val="0"/>
        <w:spacing w:line="480" w:lineRule="auto"/>
        <w:jc w:val="left"/>
        <w:rPr>
          <w:rFonts w:ascii="宋体" w:hAnsi="宋体" w:cs="宋体"/>
          <w:color w:val="3A3A3A"/>
          <w:kern w:val="0"/>
          <w:sz w:val="24"/>
          <w:szCs w:val="24"/>
          <w:u w:val="single"/>
        </w:rPr>
      </w:pPr>
      <w:r>
        <w:rPr>
          <w:rFonts w:hint="eastAsia" w:ascii="宋体" w:hAnsi="宋体" w:cs="宋体"/>
          <w:color w:val="3A3A3A"/>
          <w:kern w:val="0"/>
          <w:sz w:val="24"/>
          <w:szCs w:val="24"/>
        </w:rPr>
        <w:t>报价单位：</w:t>
      </w:r>
      <w:r>
        <w:rPr>
          <w:rFonts w:hint="eastAsia" w:ascii="宋体" w:hAnsi="宋体" w:cs="宋体"/>
          <w:color w:val="3A3A3A"/>
          <w:kern w:val="0"/>
          <w:sz w:val="24"/>
          <w:szCs w:val="24"/>
          <w:u w:val="single"/>
        </w:rPr>
        <w:t xml:space="preserve">                      .</w:t>
      </w:r>
      <w:r>
        <w:rPr>
          <w:rFonts w:ascii="宋体" w:hAnsi="宋体" w:cs="宋体"/>
          <w:color w:val="3A3A3A"/>
          <w:kern w:val="0"/>
          <w:sz w:val="24"/>
          <w:szCs w:val="24"/>
          <w:u w:val="single"/>
        </w:rPr>
        <w:t xml:space="preserve">                                                                                                          </w:t>
      </w:r>
    </w:p>
    <w:p>
      <w:pPr>
        <w:widowControl/>
        <w:shd w:val="clear" w:color="auto" w:fill="FFFFFF"/>
        <w:adjustRightInd w:val="0"/>
        <w:snapToGrid w:val="0"/>
        <w:spacing w:line="480" w:lineRule="auto"/>
        <w:jc w:val="left"/>
        <w:rPr>
          <w:rFonts w:ascii="宋体" w:hAnsi="宋体" w:cs="宋体"/>
          <w:color w:val="3A3A3A"/>
          <w:kern w:val="0"/>
          <w:sz w:val="24"/>
          <w:szCs w:val="24"/>
        </w:rPr>
      </w:pPr>
      <w:r>
        <w:rPr>
          <w:rFonts w:hint="eastAsia" w:ascii="宋体" w:hAnsi="宋体" w:cs="宋体"/>
          <w:color w:val="3A3A3A"/>
          <w:kern w:val="0"/>
          <w:sz w:val="24"/>
          <w:szCs w:val="24"/>
        </w:rPr>
        <w:t>最终报价人民币：（大写）</w:t>
      </w:r>
      <w:r>
        <w:rPr>
          <w:rFonts w:hint="eastAsia" w:ascii="宋体" w:hAnsi="宋体" w:cs="宋体"/>
          <w:color w:val="3A3A3A"/>
          <w:kern w:val="0"/>
          <w:sz w:val="24"/>
          <w:szCs w:val="24"/>
          <w:u w:val="single"/>
        </w:rPr>
        <w:t xml:space="preserve">                   （小写）      </w:t>
      </w:r>
      <w:r>
        <w:rPr>
          <w:rFonts w:hint="eastAsia" w:ascii="宋体" w:hAnsi="宋体" w:cs="宋体"/>
          <w:color w:val="3A3A3A"/>
          <w:kern w:val="0"/>
          <w:sz w:val="24"/>
          <w:szCs w:val="24"/>
        </w:rPr>
        <w:t>元</w:t>
      </w:r>
      <w:r>
        <w:rPr>
          <w:rFonts w:ascii="宋体" w:hAnsi="宋体" w:cs="宋体"/>
          <w:color w:val="3A3A3A"/>
          <w:kern w:val="0"/>
          <w:sz w:val="24"/>
          <w:szCs w:val="24"/>
        </w:rPr>
        <w:t xml:space="preserve"> </w:t>
      </w:r>
      <w:r>
        <w:rPr>
          <w:rFonts w:hint="eastAsia" w:ascii="宋体" w:hAnsi="宋体" w:cs="宋体"/>
          <w:color w:val="3A3A3A"/>
          <w:kern w:val="0"/>
          <w:sz w:val="24"/>
          <w:szCs w:val="24"/>
        </w:rPr>
        <w:t xml:space="preserve">                   </w:t>
      </w:r>
      <w:r>
        <w:rPr>
          <w:rFonts w:ascii="宋体" w:hAnsi="宋体" w:cs="宋体"/>
          <w:color w:val="3A3A3A"/>
          <w:kern w:val="0"/>
          <w:sz w:val="24"/>
          <w:szCs w:val="24"/>
        </w:rPr>
        <w:t xml:space="preserve">                                     </w:t>
      </w:r>
    </w:p>
    <w:p>
      <w:pPr>
        <w:widowControl/>
        <w:shd w:val="clear" w:color="auto" w:fill="FFFFFF"/>
        <w:adjustRightInd w:val="0"/>
        <w:snapToGrid w:val="0"/>
        <w:spacing w:line="480" w:lineRule="auto"/>
        <w:jc w:val="left"/>
        <w:rPr>
          <w:rFonts w:hint="eastAsia" w:ascii="宋体" w:hAnsi="宋体" w:cs="宋体"/>
          <w:color w:val="3A3A3A"/>
          <w:kern w:val="0"/>
          <w:sz w:val="24"/>
          <w:szCs w:val="24"/>
          <w:u w:val="thick"/>
        </w:rPr>
      </w:pPr>
      <w:r>
        <w:rPr>
          <w:rFonts w:hint="eastAsia" w:ascii="宋体" w:hAnsi="宋体" w:cs="宋体"/>
          <w:color w:val="3A3A3A"/>
          <w:kern w:val="0"/>
          <w:sz w:val="24"/>
          <w:szCs w:val="24"/>
        </w:rPr>
        <w:t>联系人及联系电话</w:t>
      </w:r>
      <w:r>
        <w:rPr>
          <w:rFonts w:hint="eastAsia" w:ascii="宋体" w:hAnsi="宋体" w:cs="宋体"/>
          <w:color w:val="3A3A3A"/>
          <w:kern w:val="0"/>
          <w:sz w:val="24"/>
          <w:szCs w:val="24"/>
          <w:u w:val="single"/>
        </w:rPr>
        <w:t xml:space="preserve">：                          </w:t>
      </w:r>
      <w:r>
        <w:rPr>
          <w:rFonts w:hint="eastAsia" w:ascii="宋体" w:hAnsi="宋体" w:cs="宋体"/>
          <w:color w:val="3A3A3A"/>
          <w:kern w:val="0"/>
          <w:sz w:val="24"/>
          <w:szCs w:val="24"/>
        </w:rPr>
        <w:t>.</w:t>
      </w:r>
    </w:p>
    <w:p>
      <w:r>
        <w:rPr>
          <w:rFonts w:hint="eastAsia" w:ascii="宋体" w:hAnsi="宋体" w:cs="宋体"/>
          <w:color w:val="FF0000"/>
          <w:kern w:val="0"/>
          <w:sz w:val="24"/>
          <w:szCs w:val="24"/>
        </w:rPr>
        <w:t>注:</w:t>
      </w:r>
      <w:r>
        <w:rPr>
          <w:rFonts w:hint="eastAsia" w:ascii="宋体" w:hAnsi="宋体"/>
          <w:color w:val="FF0000"/>
          <w:sz w:val="24"/>
          <w:szCs w:val="24"/>
        </w:rPr>
        <w:t xml:space="preserve"> </w:t>
      </w:r>
      <w:r>
        <w:rPr>
          <w:rFonts w:hint="eastAsia" w:ascii="宋体" w:hAnsi="宋体" w:cs="宋体"/>
          <w:color w:val="FF0000"/>
          <w:kern w:val="0"/>
          <w:sz w:val="24"/>
          <w:szCs w:val="24"/>
        </w:rPr>
        <w:t xml:space="preserve">请各报价单位按询价公告所有要求的内容响应提交承诺函、报价表、营业执照等相关证明材料复印件，并加盖公章。 </w:t>
      </w:r>
      <w:r>
        <w:rPr>
          <w:rFonts w:hint="eastAsia" w:ascii="宋体" w:hAnsi="宋体" w:cs="宋体"/>
          <w:color w:val="FF0000"/>
          <w:kern w:val="0"/>
          <w:sz w:val="28"/>
          <w:szCs w:val="28"/>
        </w:rPr>
        <w:t xml:space="preserve">  </w:t>
      </w:r>
      <w:r>
        <w:rPr>
          <w:rFonts w:hint="eastAsia" w:ascii="宋体" w:hAnsi="宋体"/>
          <w:color w:val="FF0000"/>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D97054"/>
    <w:multiLevelType w:val="singleLevel"/>
    <w:tmpl w:val="ADD97054"/>
    <w:lvl w:ilvl="0" w:tentative="0">
      <w:start w:val="1"/>
      <w:numFmt w:val="decimal"/>
      <w:suff w:val="nothing"/>
      <w:lvlText w:val="%1、"/>
      <w:lvlJc w:val="left"/>
    </w:lvl>
  </w:abstractNum>
  <w:abstractNum w:abstractNumId="1">
    <w:nsid w:val="679B3037"/>
    <w:multiLevelType w:val="singleLevel"/>
    <w:tmpl w:val="679B3037"/>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70315"/>
    <w:rsid w:val="04ED7065"/>
    <w:rsid w:val="05823BC4"/>
    <w:rsid w:val="08C64526"/>
    <w:rsid w:val="08DB0835"/>
    <w:rsid w:val="096E7FAC"/>
    <w:rsid w:val="0B74504C"/>
    <w:rsid w:val="10153AA6"/>
    <w:rsid w:val="24302A1C"/>
    <w:rsid w:val="250259AC"/>
    <w:rsid w:val="25F10848"/>
    <w:rsid w:val="2CC556C9"/>
    <w:rsid w:val="2F677327"/>
    <w:rsid w:val="36EE48AB"/>
    <w:rsid w:val="39D96680"/>
    <w:rsid w:val="3BB74A70"/>
    <w:rsid w:val="400868E8"/>
    <w:rsid w:val="408D66C7"/>
    <w:rsid w:val="410777DB"/>
    <w:rsid w:val="41796364"/>
    <w:rsid w:val="41916B7A"/>
    <w:rsid w:val="462F47B9"/>
    <w:rsid w:val="4A3D3A81"/>
    <w:rsid w:val="4ABF7BEE"/>
    <w:rsid w:val="4D4562E8"/>
    <w:rsid w:val="53B94759"/>
    <w:rsid w:val="5496603F"/>
    <w:rsid w:val="597864E4"/>
    <w:rsid w:val="5E9E244A"/>
    <w:rsid w:val="618622A0"/>
    <w:rsid w:val="62C631B6"/>
    <w:rsid w:val="651D256C"/>
    <w:rsid w:val="697E5B2B"/>
    <w:rsid w:val="6DC67BCA"/>
    <w:rsid w:val="78862586"/>
    <w:rsid w:val="799419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spacing w:beforeAutospacing="1" w:afterAutospacing="1"/>
      <w:jc w:val="left"/>
    </w:pPr>
    <w:rPr>
      <w:rFonts w:ascii="Calibri" w:hAnsi="Calibri" w:eastAsia="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CYN</cp:lastModifiedBy>
  <dcterms:modified xsi:type="dcterms:W3CDTF">2021-06-15T02:13:59Z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A45C798CE1944B7F8E537BB0129D18E0</vt:lpwstr>
  </property>
</Properties>
</file>